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1120"/>
        <w:spacing w:after="0"/>
        <w:rPr>
          <w:sz w:val="20"/>
          <w:szCs w:val="20"/>
          <w:color w:val="auto"/>
        </w:rPr>
      </w:pPr>
      <w:r>
        <w:rPr>
          <w:rFonts w:ascii="Times New Roman" w:cs="Times New Roman" w:eastAsia="Times New Roman" w:hAnsi="Times New Roman"/>
          <w:sz w:val="18"/>
          <w:szCs w:val="18"/>
          <w:b w:val="1"/>
          <w:bCs w:val="1"/>
          <w:color w:val="auto"/>
        </w:rPr>
        <w:drawing>
          <wp:anchor simplePos="0" relativeHeight="251657728" behindDoc="1" locked="0" layoutInCell="0" allowOverlap="1">
            <wp:simplePos x="0" y="0"/>
            <wp:positionH relativeFrom="page">
              <wp:posOffset>208280</wp:posOffset>
            </wp:positionH>
            <wp:positionV relativeFrom="page">
              <wp:posOffset>157480</wp:posOffset>
            </wp:positionV>
            <wp:extent cx="7132320" cy="171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132320" cy="17145"/>
                    </a:xfrm>
                    <a:prstGeom prst="rect">
                      <a:avLst/>
                    </a:prstGeom>
                    <a:noFill/>
                  </pic:spPr>
                </pic:pic>
              </a:graphicData>
            </a:graphic>
          </wp:anchor>
        </w:drawing>
        <w:drawing>
          <wp:anchor simplePos="0" relativeHeight="251657728" behindDoc="1" locked="0" layoutInCell="0" allowOverlap="1">
            <wp:simplePos x="0" y="0"/>
            <wp:positionH relativeFrom="page">
              <wp:posOffset>208280</wp:posOffset>
            </wp:positionH>
            <wp:positionV relativeFrom="page">
              <wp:posOffset>191770</wp:posOffset>
            </wp:positionV>
            <wp:extent cx="7132320" cy="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132320" cy="8890"/>
                    </a:xfrm>
                    <a:prstGeom prst="rect">
                      <a:avLst/>
                    </a:prstGeom>
                    <a:noFill/>
                  </pic:spPr>
                </pic:pic>
              </a:graphicData>
            </a:graphic>
          </wp:anchor>
        </w:drawing>
        <w:t>UNITED STATES</w:t>
      </w:r>
    </w:p>
    <w:p>
      <w:pPr>
        <w:spacing w:after="0" w:line="31" w:lineRule="exact"/>
        <w:rPr>
          <w:sz w:val="24"/>
          <w:szCs w:val="24"/>
          <w:color w:val="auto"/>
        </w:rPr>
      </w:pPr>
    </w:p>
    <w:p>
      <w:pPr>
        <w:jc w:val="center"/>
        <w:ind w:right="-1120"/>
        <w:spacing w:after="0"/>
        <w:rPr>
          <w:sz w:val="20"/>
          <w:szCs w:val="20"/>
          <w:color w:val="auto"/>
        </w:rPr>
      </w:pPr>
      <w:r>
        <w:rPr>
          <w:rFonts w:ascii="Times New Roman" w:cs="Times New Roman" w:eastAsia="Times New Roman" w:hAnsi="Times New Roman"/>
          <w:sz w:val="18"/>
          <w:szCs w:val="18"/>
          <w:b w:val="1"/>
          <w:bCs w:val="1"/>
          <w:color w:val="auto"/>
        </w:rPr>
        <w:t>SECURITIES AND EXCHANGE COMMISSION</w:t>
      </w:r>
    </w:p>
    <w:p>
      <w:pPr>
        <w:spacing w:after="0" w:line="9" w:lineRule="exact"/>
        <w:rPr>
          <w:sz w:val="24"/>
          <w:szCs w:val="24"/>
          <w:color w:val="auto"/>
        </w:rPr>
      </w:pPr>
    </w:p>
    <w:p>
      <w:pPr>
        <w:jc w:val="center"/>
        <w:ind w:right="-1060"/>
        <w:spacing w:after="0"/>
        <w:rPr>
          <w:sz w:val="20"/>
          <w:szCs w:val="20"/>
          <w:color w:val="auto"/>
        </w:rPr>
      </w:pPr>
      <w:r>
        <w:rPr>
          <w:rFonts w:ascii="Times New Roman" w:cs="Times New Roman" w:eastAsia="Times New Roman" w:hAnsi="Times New Roman"/>
          <w:sz w:val="18"/>
          <w:szCs w:val="18"/>
          <w:b w:val="1"/>
          <w:bCs w:val="1"/>
          <w:color w:val="auto"/>
        </w:rPr>
        <w:t>Washington, D.C. 20549</w:t>
      </w:r>
    </w:p>
    <w:p>
      <w:pPr>
        <w:spacing w:after="0" w:line="203" w:lineRule="exact"/>
        <w:rPr>
          <w:sz w:val="24"/>
          <w:szCs w:val="24"/>
          <w:color w:val="auto"/>
        </w:rPr>
      </w:pPr>
    </w:p>
    <w:p>
      <w:pPr>
        <w:jc w:val="center"/>
        <w:ind w:right="-1120"/>
        <w:spacing w:after="0"/>
        <w:rPr>
          <w:sz w:val="20"/>
          <w:szCs w:val="20"/>
          <w:color w:val="auto"/>
        </w:rPr>
      </w:pPr>
      <w:r>
        <w:rPr>
          <w:rFonts w:ascii="Times New Roman" w:cs="Times New Roman" w:eastAsia="Times New Roman" w:hAnsi="Times New Roman"/>
          <w:sz w:val="18"/>
          <w:szCs w:val="18"/>
          <w:b w:val="1"/>
          <w:bCs w:val="1"/>
          <w:color w:val="auto"/>
        </w:rPr>
        <w:t>FORM 6-K</w:t>
      </w:r>
    </w:p>
    <w:p>
      <w:pPr>
        <w:spacing w:after="0" w:line="225" w:lineRule="exact"/>
        <w:rPr>
          <w:sz w:val="24"/>
          <w:szCs w:val="24"/>
          <w:color w:val="auto"/>
        </w:rPr>
      </w:pPr>
    </w:p>
    <w:p>
      <w:pPr>
        <w:jc w:val="center"/>
        <w:ind w:right="-1120"/>
        <w:spacing w:after="0"/>
        <w:rPr>
          <w:sz w:val="20"/>
          <w:szCs w:val="20"/>
          <w:color w:val="auto"/>
        </w:rPr>
      </w:pPr>
      <w:r>
        <w:rPr>
          <w:rFonts w:ascii="Times New Roman" w:cs="Times New Roman" w:eastAsia="Times New Roman" w:hAnsi="Times New Roman"/>
          <w:sz w:val="17"/>
          <w:szCs w:val="17"/>
          <w:b w:val="1"/>
          <w:bCs w:val="1"/>
          <w:color w:val="auto"/>
        </w:rPr>
        <w:t>REPORT OF FOREIGN PRIVATE ISSUER PURSUANT TO RULE 13a-16</w:t>
      </w:r>
    </w:p>
    <w:p>
      <w:pPr>
        <w:spacing w:after="0" w:line="43" w:lineRule="exact"/>
        <w:rPr>
          <w:sz w:val="24"/>
          <w:szCs w:val="24"/>
          <w:color w:val="auto"/>
        </w:rPr>
      </w:pPr>
    </w:p>
    <w:p>
      <w:pPr>
        <w:jc w:val="center"/>
        <w:ind w:right="-1120"/>
        <w:spacing w:after="0"/>
        <w:rPr>
          <w:sz w:val="20"/>
          <w:szCs w:val="20"/>
          <w:color w:val="auto"/>
        </w:rPr>
      </w:pPr>
      <w:r>
        <w:rPr>
          <w:rFonts w:ascii="Times New Roman" w:cs="Times New Roman" w:eastAsia="Times New Roman" w:hAnsi="Times New Roman"/>
          <w:sz w:val="18"/>
          <w:szCs w:val="18"/>
          <w:b w:val="1"/>
          <w:bCs w:val="1"/>
          <w:color w:val="auto"/>
        </w:rPr>
        <w:t>OR 15d-16 UNDER THE SECURITIES EXCHANGE ACT OF 1934</w:t>
      </w:r>
    </w:p>
    <w:p>
      <w:pPr>
        <w:spacing w:after="0" w:line="207" w:lineRule="exact"/>
        <w:rPr>
          <w:sz w:val="24"/>
          <w:szCs w:val="24"/>
          <w:color w:val="auto"/>
        </w:rPr>
      </w:pPr>
    </w:p>
    <w:p>
      <w:pPr>
        <w:jc w:val="center"/>
        <w:ind w:right="-1120"/>
        <w:spacing w:after="0"/>
        <w:rPr>
          <w:sz w:val="20"/>
          <w:szCs w:val="20"/>
          <w:color w:val="auto"/>
        </w:rPr>
      </w:pPr>
      <w:r>
        <w:rPr>
          <w:rFonts w:ascii="Times New Roman" w:cs="Times New Roman" w:eastAsia="Times New Roman" w:hAnsi="Times New Roman"/>
          <w:sz w:val="18"/>
          <w:szCs w:val="18"/>
          <w:color w:val="auto"/>
        </w:rPr>
        <w:t>For the month of December, 2025</w:t>
      </w:r>
    </w:p>
    <w:p>
      <w:pPr>
        <w:spacing w:after="0" w:line="27" w:lineRule="exact"/>
        <w:rPr>
          <w:sz w:val="24"/>
          <w:szCs w:val="24"/>
          <w:color w:val="auto"/>
        </w:rPr>
      </w:pPr>
    </w:p>
    <w:p>
      <w:pPr>
        <w:jc w:val="center"/>
        <w:ind w:right="-1120"/>
        <w:spacing w:after="0"/>
        <w:rPr>
          <w:sz w:val="20"/>
          <w:szCs w:val="20"/>
          <w:color w:val="auto"/>
        </w:rPr>
      </w:pPr>
      <w:r>
        <w:rPr>
          <w:rFonts w:ascii="Times New Roman" w:cs="Times New Roman" w:eastAsia="Times New Roman" w:hAnsi="Times New Roman"/>
          <w:sz w:val="18"/>
          <w:szCs w:val="18"/>
          <w:color w:val="auto"/>
        </w:rPr>
        <w:t>Commission File Number 001-41901</w:t>
      </w:r>
    </w:p>
    <w:p>
      <w:pPr>
        <w:spacing w:after="0" w:line="203" w:lineRule="exact"/>
        <w:rPr>
          <w:sz w:val="24"/>
          <w:szCs w:val="24"/>
          <w:color w:val="auto"/>
        </w:rPr>
      </w:pPr>
    </w:p>
    <w:p>
      <w:pPr>
        <w:jc w:val="center"/>
        <w:ind w:right="-1120"/>
        <w:spacing w:after="0"/>
        <w:rPr>
          <w:sz w:val="20"/>
          <w:szCs w:val="20"/>
          <w:color w:val="auto"/>
        </w:rPr>
      </w:pPr>
      <w:r>
        <w:rPr>
          <w:rFonts w:ascii="Times New Roman" w:cs="Times New Roman" w:eastAsia="Times New Roman" w:hAnsi="Times New Roman"/>
          <w:sz w:val="18"/>
          <w:szCs w:val="18"/>
          <w:b w:val="1"/>
          <w:bCs w:val="1"/>
          <w:color w:val="auto"/>
        </w:rPr>
        <w:t>J-Long Group Limited</w:t>
      </w:r>
    </w:p>
    <w:p>
      <w:pPr>
        <w:spacing w:after="0" w:line="31" w:lineRule="exact"/>
        <w:rPr>
          <w:sz w:val="24"/>
          <w:szCs w:val="24"/>
          <w:color w:val="auto"/>
        </w:rPr>
      </w:pPr>
    </w:p>
    <w:p>
      <w:pPr>
        <w:jc w:val="center"/>
        <w:ind w:right="-1120"/>
        <w:spacing w:after="0"/>
        <w:rPr>
          <w:sz w:val="20"/>
          <w:szCs w:val="20"/>
          <w:color w:val="auto"/>
        </w:rPr>
      </w:pPr>
      <w:r>
        <w:rPr>
          <w:rFonts w:ascii="Times New Roman" w:cs="Times New Roman" w:eastAsia="Times New Roman" w:hAnsi="Times New Roman"/>
          <w:sz w:val="18"/>
          <w:szCs w:val="18"/>
          <w:color w:val="auto"/>
        </w:rPr>
        <w:t>(Registrant’s Name)</w:t>
      </w:r>
    </w:p>
    <w:p>
      <w:pPr>
        <w:spacing w:after="0" w:line="203" w:lineRule="exact"/>
        <w:rPr>
          <w:sz w:val="24"/>
          <w:szCs w:val="24"/>
          <w:color w:val="auto"/>
        </w:rPr>
      </w:pPr>
    </w:p>
    <w:p>
      <w:pPr>
        <w:ind w:left="3380"/>
        <w:spacing w:after="0"/>
        <w:rPr>
          <w:sz w:val="20"/>
          <w:szCs w:val="20"/>
          <w:color w:val="auto"/>
        </w:rPr>
      </w:pPr>
      <w:r>
        <w:rPr>
          <w:rFonts w:ascii="Times New Roman" w:cs="Times New Roman" w:eastAsia="Times New Roman" w:hAnsi="Times New Roman"/>
          <w:sz w:val="18"/>
          <w:szCs w:val="18"/>
          <w:b w:val="1"/>
          <w:bCs w:val="1"/>
          <w:color w:val="auto"/>
        </w:rPr>
        <w:t>3A, Hong Kong Spinners Industrial Building (Phase 1&amp;2)</w:t>
      </w:r>
    </w:p>
    <w:p>
      <w:pPr>
        <w:spacing w:after="0" w:line="31" w:lineRule="exact"/>
        <w:rPr>
          <w:sz w:val="24"/>
          <w:szCs w:val="24"/>
          <w:color w:val="auto"/>
        </w:rPr>
      </w:pPr>
    </w:p>
    <w:p>
      <w:pPr>
        <w:ind w:left="4360"/>
        <w:spacing w:after="0"/>
        <w:rPr>
          <w:sz w:val="20"/>
          <w:szCs w:val="20"/>
          <w:color w:val="auto"/>
        </w:rPr>
      </w:pPr>
      <w:r>
        <w:rPr>
          <w:rFonts w:ascii="Times New Roman" w:cs="Times New Roman" w:eastAsia="Times New Roman" w:hAnsi="Times New Roman"/>
          <w:sz w:val="18"/>
          <w:szCs w:val="18"/>
          <w:b w:val="1"/>
          <w:bCs w:val="1"/>
          <w:color w:val="auto"/>
        </w:rPr>
        <w:t>No. 800, Cheung Sha Wan Road</w:t>
      </w:r>
    </w:p>
    <w:p>
      <w:pPr>
        <w:spacing w:after="0" w:line="9" w:lineRule="exact"/>
        <w:rPr>
          <w:sz w:val="24"/>
          <w:szCs w:val="24"/>
          <w:color w:val="auto"/>
        </w:rPr>
      </w:pPr>
    </w:p>
    <w:p>
      <w:pPr>
        <w:ind w:left="4800"/>
        <w:spacing w:after="0"/>
        <w:rPr>
          <w:sz w:val="20"/>
          <w:szCs w:val="20"/>
          <w:color w:val="auto"/>
        </w:rPr>
      </w:pPr>
      <w:r>
        <w:rPr>
          <w:rFonts w:ascii="Times New Roman" w:cs="Times New Roman" w:eastAsia="Times New Roman" w:hAnsi="Times New Roman"/>
          <w:sz w:val="18"/>
          <w:szCs w:val="18"/>
          <w:b w:val="1"/>
          <w:bCs w:val="1"/>
          <w:color w:val="auto"/>
        </w:rPr>
        <w:t>Kowloon, Hong Kong</w:t>
      </w:r>
    </w:p>
    <w:p>
      <w:pPr>
        <w:spacing w:after="0" w:line="9" w:lineRule="exact"/>
        <w:rPr>
          <w:sz w:val="24"/>
          <w:szCs w:val="24"/>
          <w:color w:val="auto"/>
        </w:rPr>
      </w:pPr>
    </w:p>
    <w:p>
      <w:pPr>
        <w:ind w:left="4240"/>
        <w:spacing w:after="0"/>
        <w:rPr>
          <w:sz w:val="20"/>
          <w:szCs w:val="20"/>
          <w:color w:val="auto"/>
        </w:rPr>
      </w:pPr>
      <w:r>
        <w:rPr>
          <w:rFonts w:ascii="Times New Roman" w:cs="Times New Roman" w:eastAsia="Times New Roman" w:hAnsi="Times New Roman"/>
          <w:sz w:val="18"/>
          <w:szCs w:val="18"/>
          <w:color w:val="auto"/>
        </w:rPr>
        <w:t>(Address of principal executive office)</w:t>
      </w:r>
    </w:p>
    <w:p>
      <w:pPr>
        <w:spacing w:after="0" w:line="207" w:lineRule="exact"/>
        <w:rPr>
          <w:sz w:val="24"/>
          <w:szCs w:val="24"/>
          <w:color w:val="auto"/>
        </w:rPr>
      </w:pPr>
    </w:p>
    <w:p>
      <w:pPr>
        <w:spacing w:after="0"/>
        <w:rPr>
          <w:sz w:val="20"/>
          <w:szCs w:val="20"/>
          <w:color w:val="auto"/>
        </w:rPr>
      </w:pPr>
      <w:r>
        <w:rPr>
          <w:rFonts w:ascii="Times New Roman" w:cs="Times New Roman" w:eastAsia="Times New Roman" w:hAnsi="Times New Roman"/>
          <w:sz w:val="18"/>
          <w:szCs w:val="18"/>
          <w:color w:val="auto"/>
        </w:rPr>
        <w:t>Indicate by check mark whether the registrant files or will file annual reports under cover of Form 20-F or Form 40-F.</w:t>
      </w:r>
    </w:p>
    <w:p>
      <w:pPr>
        <w:spacing w:after="0" w:line="184" w:lineRule="exact"/>
        <w:rPr>
          <w:sz w:val="24"/>
          <w:szCs w:val="24"/>
          <w:color w:val="auto"/>
        </w:rPr>
      </w:pPr>
    </w:p>
    <w:p>
      <w:pPr>
        <w:ind w:left="4500"/>
        <w:spacing w:after="0" w:line="207" w:lineRule="exact"/>
        <w:tabs>
          <w:tab w:leader="none" w:pos="5740" w:val="left"/>
        </w:tabs>
        <w:rPr>
          <w:sz w:val="20"/>
          <w:szCs w:val="20"/>
          <w:color w:val="auto"/>
        </w:rPr>
      </w:pPr>
      <w:r>
        <w:rPr>
          <w:rFonts w:ascii="Times New Roman" w:cs="Times New Roman" w:eastAsia="Times New Roman" w:hAnsi="Times New Roman"/>
          <w:sz w:val="18"/>
          <w:szCs w:val="18"/>
          <w:color w:val="auto"/>
        </w:rPr>
        <w:t xml:space="preserve">Form 20-F </w:t>
      </w:r>
      <w:r>
        <w:rPr>
          <w:rFonts w:ascii="MS PGothic" w:cs="MS PGothic" w:eastAsia="MS PGothic" w:hAnsi="MS PGothic"/>
          <w:sz w:val="18"/>
          <w:szCs w:val="18"/>
          <w:color w:val="auto"/>
        </w:rPr>
        <w:t>☒</w:t>
      </w:r>
      <w:r>
        <w:rPr>
          <w:sz w:val="20"/>
          <w:szCs w:val="20"/>
          <w:color w:val="auto"/>
        </w:rPr>
        <w:tab/>
      </w:r>
      <w:r>
        <w:rPr>
          <w:rFonts w:ascii="Times New Roman" w:cs="Times New Roman" w:eastAsia="Times New Roman" w:hAnsi="Times New Roman"/>
          <w:sz w:val="17"/>
          <w:szCs w:val="17"/>
          <w:color w:val="auto"/>
        </w:rPr>
        <w:t xml:space="preserve">Form 40-F </w:t>
      </w:r>
      <w:r>
        <w:rPr>
          <w:rFonts w:ascii="MS PGothic" w:cs="MS PGothic" w:eastAsia="MS PGothic" w:hAnsi="MS PGothic"/>
          <w:sz w:val="17"/>
          <w:szCs w:val="17"/>
          <w:color w:val="auto"/>
        </w:rPr>
        <w: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180340</wp:posOffset>
            </wp:positionV>
            <wp:extent cx="7132320" cy="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132320" cy="8255"/>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206375</wp:posOffset>
            </wp:positionV>
            <wp:extent cx="7132320" cy="171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132320" cy="17145"/>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652145</wp:posOffset>
            </wp:positionV>
            <wp:extent cx="7132320" cy="171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ectPr>
          <w:pgSz w:w="11900" w:h="16838" w:orient="portrait"/>
          <w:cols w:equalWidth="0" w:num="1">
            <w:col w:w="10139"/>
          </w:cols>
          <w:pgMar w:left="320" w:top="536" w:right="1440" w:bottom="1440" w:gutter="0" w:footer="0" w:header="0"/>
        </w:sectPr>
      </w:pPr>
    </w:p>
    <w:bookmarkStart w:id="1" w:name="page2"/>
    <w:bookmarkEnd w:id="1"/>
    <w:p>
      <w:pPr>
        <w:jc w:val="center"/>
        <w:spacing w:after="0"/>
        <w:rPr>
          <w:sz w:val="20"/>
          <w:szCs w:val="20"/>
          <w:color w:val="auto"/>
        </w:rPr>
      </w:pPr>
      <w:r>
        <w:rPr>
          <w:rFonts w:ascii="Times New Roman" w:cs="Times New Roman" w:eastAsia="Times New Roman" w:hAnsi="Times New Roman"/>
          <w:sz w:val="18"/>
          <w:szCs w:val="18"/>
          <w:b w:val="1"/>
          <w:bCs w:val="1"/>
          <w:color w:val="auto"/>
        </w:rPr>
        <w:t>INFORMATION CONTAINED IN THIS REPORT ON FORM 6-K</w:t>
      </w:r>
    </w:p>
    <w:p>
      <w:pPr>
        <w:spacing w:after="0" w:line="22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u w:val="single" w:color="auto"/>
          <w:color w:val="auto"/>
        </w:rPr>
        <w:t>Press Release</w:t>
      </w:r>
    </w:p>
    <w:p>
      <w:pPr>
        <w:spacing w:after="0" w:line="229"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On December 23, 2025, J-Long Group Limited (the “Company”) announced its interim financial results as of and for the six-month period ended September 30, 2025 (“Interim Results”).</w:t>
      </w:r>
    </w:p>
    <w:p>
      <w:pPr>
        <w:spacing w:after="0" w:line="162"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The information disclosed under on this Form 6-K is being furnished and shall not be deemed “filed” for purposes of Section 18 of the Securities Exchange Act of 1934, as amended, nor shall it be incorporated by reference into any registration statement or other document pursuant to the Securities Act of 1933, as amended, except as expressly set forth in such filing.</w:t>
      </w:r>
    </w:p>
    <w:p>
      <w:pPr>
        <w:spacing w:after="0" w:line="176"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10240" w:type="dxa"/>
            <w:vAlign w:val="bottom"/>
            <w:gridSpan w:val="4"/>
          </w:tcPr>
          <w:p>
            <w:pPr>
              <w:spacing w:after="0"/>
              <w:rPr>
                <w:sz w:val="20"/>
                <w:szCs w:val="20"/>
                <w:color w:val="auto"/>
              </w:rPr>
            </w:pPr>
            <w:r>
              <w:rPr>
                <w:rFonts w:ascii="Times New Roman" w:cs="Times New Roman" w:eastAsia="Times New Roman" w:hAnsi="Times New Roman"/>
                <w:sz w:val="18"/>
                <w:szCs w:val="18"/>
                <w:color w:val="auto"/>
              </w:rPr>
              <w:t>A copy of the press release announcing the Interim Results is included as Exhibit 99.1 to this Form 6-K.</w:t>
            </w:r>
          </w:p>
        </w:tc>
        <w:tc>
          <w:tcPr>
            <w:tcW w:w="1000" w:type="dxa"/>
            <w:vAlign w:val="bottom"/>
          </w:tcPr>
          <w:p>
            <w:pPr>
              <w:spacing w:after="0"/>
              <w:rPr>
                <w:sz w:val="20"/>
                <w:szCs w:val="20"/>
                <w:color w:val="auto"/>
              </w:rPr>
            </w:pPr>
          </w:p>
        </w:tc>
      </w:tr>
      <w:tr>
        <w:trPr>
          <w:trHeight w:val="392"/>
        </w:trPr>
        <w:tc>
          <w:tcPr>
            <w:tcW w:w="10240" w:type="dxa"/>
            <w:vAlign w:val="bottom"/>
            <w:gridSpan w:val="4"/>
          </w:tcPr>
          <w:p>
            <w:pPr>
              <w:spacing w:after="0"/>
              <w:rPr>
                <w:sz w:val="20"/>
                <w:szCs w:val="20"/>
                <w:color w:val="auto"/>
              </w:rPr>
            </w:pPr>
            <w:r>
              <w:rPr>
                <w:rFonts w:ascii="Times New Roman" w:cs="Times New Roman" w:eastAsia="Times New Roman" w:hAnsi="Times New Roman"/>
                <w:sz w:val="18"/>
                <w:szCs w:val="18"/>
                <w:b w:val="1"/>
                <w:bCs w:val="1"/>
                <w:color w:val="auto"/>
              </w:rPr>
              <w:t>Interim Financial Report</w:t>
            </w:r>
          </w:p>
        </w:tc>
        <w:tc>
          <w:tcPr>
            <w:tcW w:w="1000" w:type="dxa"/>
            <w:vAlign w:val="bottom"/>
          </w:tcPr>
          <w:p>
            <w:pPr>
              <w:spacing w:after="0"/>
              <w:rPr>
                <w:sz w:val="24"/>
                <w:szCs w:val="24"/>
                <w:color w:val="auto"/>
              </w:rPr>
            </w:pPr>
          </w:p>
        </w:tc>
      </w:tr>
      <w:tr>
        <w:trPr>
          <w:trHeight w:val="453"/>
        </w:trPr>
        <w:tc>
          <w:tcPr>
            <w:tcW w:w="1940" w:type="dxa"/>
            <w:vAlign w:val="bottom"/>
            <w:tcBorders>
              <w:top w:val="single" w:sz="8" w:color="auto"/>
            </w:tcBorders>
          </w:tcPr>
          <w:p>
            <w:pPr>
              <w:spacing w:after="0"/>
              <w:rPr>
                <w:sz w:val="24"/>
                <w:szCs w:val="24"/>
                <w:color w:val="auto"/>
              </w:rPr>
            </w:pPr>
          </w:p>
        </w:tc>
        <w:tc>
          <w:tcPr>
            <w:tcW w:w="8300" w:type="dxa"/>
            <w:vAlign w:val="bottom"/>
            <w:gridSpan w:val="3"/>
          </w:tcPr>
          <w:p>
            <w:pPr>
              <w:ind w:left="280"/>
              <w:spacing w:after="0"/>
              <w:rPr>
                <w:sz w:val="20"/>
                <w:szCs w:val="20"/>
                <w:color w:val="auto"/>
              </w:rPr>
            </w:pPr>
            <w:r>
              <w:rPr>
                <w:rFonts w:ascii="Times New Roman" w:cs="Times New Roman" w:eastAsia="Times New Roman" w:hAnsi="Times New Roman"/>
                <w:sz w:val="18"/>
                <w:szCs w:val="18"/>
                <w:color w:val="auto"/>
              </w:rPr>
              <w:t>REPORT ON FORM 6-K FOR THE SIX-MONTH PERIOD ENDED SEPTEMBER 30, 2025</w:t>
            </w:r>
          </w:p>
        </w:tc>
        <w:tc>
          <w:tcPr>
            <w:tcW w:w="1000" w:type="dxa"/>
            <w:vAlign w:val="bottom"/>
          </w:tcPr>
          <w:p>
            <w:pPr>
              <w:spacing w:after="0"/>
              <w:rPr>
                <w:sz w:val="24"/>
                <w:szCs w:val="24"/>
                <w:color w:val="auto"/>
              </w:rPr>
            </w:pPr>
          </w:p>
        </w:tc>
      </w:tr>
      <w:tr>
        <w:trPr>
          <w:trHeight w:val="439"/>
        </w:trPr>
        <w:tc>
          <w:tcPr>
            <w:tcW w:w="1940" w:type="dxa"/>
            <w:vAlign w:val="bottom"/>
            <w:tcBorders>
              <w:bottom w:val="single" w:sz="8" w:color="CCEEFF"/>
            </w:tcBorders>
          </w:tcPr>
          <w:p>
            <w:pPr>
              <w:spacing w:after="0"/>
              <w:rPr>
                <w:sz w:val="24"/>
                <w:szCs w:val="24"/>
                <w:color w:val="auto"/>
              </w:rPr>
            </w:pPr>
          </w:p>
        </w:tc>
        <w:tc>
          <w:tcPr>
            <w:tcW w:w="7340" w:type="dxa"/>
            <w:vAlign w:val="bottom"/>
            <w:tcBorders>
              <w:bottom w:val="single" w:sz="8" w:color="CCEEFF"/>
            </w:tcBorders>
          </w:tcPr>
          <w:p>
            <w:pPr>
              <w:spacing w:after="0"/>
              <w:rPr>
                <w:sz w:val="24"/>
                <w:szCs w:val="24"/>
                <w:color w:val="auto"/>
              </w:rPr>
            </w:pPr>
          </w:p>
        </w:tc>
        <w:tc>
          <w:tcPr>
            <w:tcW w:w="780" w:type="dxa"/>
            <w:vAlign w:val="bottom"/>
            <w:tcBorders>
              <w:bottom w:val="single" w:sz="8" w:color="CCEEFF"/>
            </w:tcBorders>
          </w:tcPr>
          <w:p>
            <w:pPr>
              <w:spacing w:after="0"/>
              <w:rPr>
                <w:sz w:val="24"/>
                <w:szCs w:val="24"/>
                <w:color w:val="auto"/>
              </w:rPr>
            </w:pPr>
          </w:p>
        </w:tc>
        <w:tc>
          <w:tcPr>
            <w:tcW w:w="180" w:type="dxa"/>
            <w:vAlign w:val="bottom"/>
            <w:tcBorders>
              <w:bottom w:val="single" w:sz="8" w:color="CCEEFF"/>
            </w:tcBorders>
          </w:tcPr>
          <w:p>
            <w:pPr>
              <w:spacing w:after="0"/>
              <w:rPr>
                <w:sz w:val="24"/>
                <w:szCs w:val="24"/>
                <w:color w:val="auto"/>
              </w:rPr>
            </w:pPr>
          </w:p>
        </w:tc>
        <w:tc>
          <w:tcPr>
            <w:tcW w:w="100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7"/>
              </w:rPr>
              <w:t>Page</w:t>
            </w:r>
          </w:p>
        </w:tc>
      </w:tr>
      <w:tr>
        <w:trPr>
          <w:trHeight w:val="196"/>
        </w:trPr>
        <w:tc>
          <w:tcPr>
            <w:tcW w:w="9280" w:type="dxa"/>
            <w:vAlign w:val="bottom"/>
            <w:tcBorders>
              <w:bottom w:val="single" w:sz="8" w:color="0000EE"/>
            </w:tcBorders>
            <w:gridSpan w:val="2"/>
            <w:shd w:val="clear" w:color="auto" w:fill="CCEEFF"/>
          </w:tcPr>
          <w:p>
            <w:pPr>
              <w:spacing w:after="0" w:line="142" w:lineRule="exact"/>
              <w:rPr>
                <w:sz w:val="20"/>
                <w:szCs w:val="20"/>
                <w:color w:val="auto"/>
              </w:rPr>
            </w:pPr>
            <w:r>
              <w:rPr>
                <w:rFonts w:ascii="Times New Roman" w:cs="Times New Roman" w:eastAsia="Times New Roman" w:hAnsi="Times New Roman"/>
                <w:sz w:val="16"/>
                <w:szCs w:val="16"/>
                <w:color w:val="0000EE"/>
              </w:rPr>
              <w:t>Unaudited Consolidated Balance Sheet as of September 30, 2025 and Audited Consolidated Balance Sheet as of March 31, 2025</w:t>
            </w:r>
          </w:p>
        </w:tc>
        <w:tc>
          <w:tcPr>
            <w:tcW w:w="960" w:type="dxa"/>
            <w:vAlign w:val="bottom"/>
            <w:tcBorders>
              <w:bottom w:val="single" w:sz="8" w:color="CCEEFF"/>
            </w:tcBorders>
            <w:gridSpan w:val="2"/>
            <w:shd w:val="clear" w:color="auto" w:fill="CCEEFF"/>
          </w:tcPr>
          <w:p>
            <w:pPr>
              <w:spacing w:after="0"/>
              <w:rPr>
                <w:sz w:val="17"/>
                <w:szCs w:val="17"/>
                <w:color w:val="auto"/>
              </w:rPr>
            </w:pPr>
          </w:p>
        </w:tc>
        <w:tc>
          <w:tcPr>
            <w:tcW w:w="1000" w:type="dxa"/>
            <w:vAlign w:val="bottom"/>
            <w:tcBorders>
              <w:bottom w:val="single" w:sz="8" w:color="CCEEFF"/>
            </w:tcBorders>
            <w:shd w:val="clear" w:color="auto" w:fill="CCEEFF"/>
          </w:tcPr>
          <w:p>
            <w:pPr>
              <w:jc w:val="center"/>
              <w:spacing w:after="0" w:line="142" w:lineRule="exact"/>
              <w:rPr>
                <w:sz w:val="20"/>
                <w:szCs w:val="20"/>
                <w:color w:val="auto"/>
              </w:rPr>
            </w:pPr>
            <w:r>
              <w:rPr>
                <w:rFonts w:ascii="Times New Roman" w:cs="Times New Roman" w:eastAsia="Times New Roman" w:hAnsi="Times New Roman"/>
                <w:sz w:val="16"/>
                <w:szCs w:val="16"/>
                <w:color w:val="auto"/>
                <w:w w:val="99"/>
              </w:rPr>
              <w:t>2</w:t>
            </w:r>
          </w:p>
        </w:tc>
      </w:tr>
      <w:tr>
        <w:trPr>
          <w:trHeight w:val="175"/>
        </w:trPr>
        <w:tc>
          <w:tcPr>
            <w:tcW w:w="10240" w:type="dxa"/>
            <w:vAlign w:val="bottom"/>
            <w:gridSpan w:val="4"/>
          </w:tcPr>
          <w:p>
            <w:pPr>
              <w:spacing w:after="0" w:line="176" w:lineRule="exact"/>
              <w:rPr>
                <w:sz w:val="20"/>
                <w:szCs w:val="20"/>
                <w:color w:val="auto"/>
              </w:rPr>
            </w:pPr>
            <w:r>
              <w:rPr>
                <w:rFonts w:ascii="Times New Roman" w:cs="Times New Roman" w:eastAsia="Times New Roman" w:hAnsi="Times New Roman"/>
                <w:sz w:val="18"/>
                <w:szCs w:val="18"/>
                <w:color w:val="0000EE"/>
              </w:rPr>
              <w:t>Unaudited Consolidated Statements of Income and Comprehensive Income for the Six-Month Periods Ended September 30, 2025 and 2024</w:t>
            </w:r>
          </w:p>
        </w:tc>
        <w:tc>
          <w:tcPr>
            <w:tcW w:w="1000" w:type="dxa"/>
            <w:vAlign w:val="bottom"/>
          </w:tcPr>
          <w:p>
            <w:pPr>
              <w:jc w:val="center"/>
              <w:spacing w:after="0" w:line="176" w:lineRule="exact"/>
              <w:rPr>
                <w:sz w:val="20"/>
                <w:szCs w:val="20"/>
                <w:color w:val="auto"/>
              </w:rPr>
            </w:pPr>
            <w:r>
              <w:rPr>
                <w:rFonts w:ascii="Times New Roman" w:cs="Times New Roman" w:eastAsia="Times New Roman" w:hAnsi="Times New Roman"/>
                <w:sz w:val="18"/>
                <w:szCs w:val="18"/>
                <w:color w:val="auto"/>
                <w:w w:val="88"/>
              </w:rPr>
              <w:t>3</w:t>
            </w:r>
          </w:p>
        </w:tc>
      </w:tr>
      <w:tr>
        <w:trPr>
          <w:trHeight w:val="676"/>
        </w:trPr>
        <w:tc>
          <w:tcPr>
            <w:tcW w:w="9280" w:type="dxa"/>
            <w:vAlign w:val="bottom"/>
            <w:tcBorders>
              <w:top w:val="single" w:sz="8" w:color="0000EE"/>
              <w:bottom w:val="single" w:sz="8" w:color="auto"/>
            </w:tcBorders>
            <w:gridSpan w:val="2"/>
          </w:tcPr>
          <w:p>
            <w:pPr>
              <w:ind w:left="5580"/>
              <w:spacing w:after="0"/>
              <w:rPr>
                <w:sz w:val="20"/>
                <w:szCs w:val="20"/>
                <w:color w:val="auto"/>
              </w:rPr>
            </w:pPr>
            <w:r>
              <w:rPr>
                <w:rFonts w:ascii="Times New Roman" w:cs="Times New Roman" w:eastAsia="Times New Roman" w:hAnsi="Times New Roman"/>
                <w:sz w:val="18"/>
                <w:szCs w:val="18"/>
                <w:color w:val="auto"/>
              </w:rPr>
              <w:t>1</w:t>
            </w:r>
          </w:p>
        </w:tc>
        <w:tc>
          <w:tcPr>
            <w:tcW w:w="780" w:type="dxa"/>
            <w:vAlign w:val="bottom"/>
            <w:tcBorders>
              <w:top w:val="single" w:sz="8" w:color="0000EE"/>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00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900" w:right="339" w:bottom="1440" w:gutter="0" w:footer="0" w:header="0"/>
        </w:sectPr>
      </w:pPr>
    </w:p>
    <w:bookmarkStart w:id="2" w:name="page3"/>
    <w:bookmarkEnd w:id="2"/>
    <w:p>
      <w:pPr>
        <w:jc w:val="center"/>
        <w:spacing w:after="0"/>
        <w:rPr>
          <w:sz w:val="20"/>
          <w:szCs w:val="20"/>
          <w:color w:val="auto"/>
        </w:rPr>
      </w:pPr>
      <w:r>
        <w:rPr>
          <w:rFonts w:ascii="Times New Roman" w:cs="Times New Roman" w:eastAsia="Times New Roman" w:hAnsi="Times New Roman"/>
          <w:sz w:val="18"/>
          <w:szCs w:val="18"/>
          <w:b w:val="1"/>
          <w:bCs w:val="1"/>
          <w:color w:val="auto"/>
        </w:rPr>
        <w:t>J-LONG GROUP LIMITED</w:t>
      </w:r>
    </w:p>
    <w:p>
      <w:pPr>
        <w:spacing w:after="0" w:line="31"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UNAUDITED CONSOLIDATED BALANCE SHEETS</w:t>
      </w:r>
    </w:p>
    <w:p>
      <w:pPr>
        <w:spacing w:after="0" w:line="122" w:lineRule="exact"/>
        <w:rPr>
          <w:sz w:val="20"/>
          <w:szCs w:val="20"/>
          <w:color w:val="auto"/>
        </w:rPr>
      </w:pPr>
    </w:p>
    <w:tbl>
      <w:tblPr>
        <w:tblLayout w:type="fixed"/>
        <w:tblInd w:w="0" w:type="dxa"/>
        <w:tblCellMar>
          <w:top w:w="0" w:type="dxa"/>
          <w:left w:w="0" w:type="dxa"/>
          <w:bottom w:w="0" w:type="dxa"/>
          <w:right w:w="0" w:type="dxa"/>
        </w:tblCellMar>
      </w:tblPr>
      <w:tr>
        <w:trPr>
          <w:trHeight w:val="245"/>
        </w:trPr>
        <w:tc>
          <w:tcPr>
            <w:tcW w:w="8680" w:type="dxa"/>
            <w:vAlign w:val="bottom"/>
          </w:tcPr>
          <w:p>
            <w:pPr>
              <w:spacing w:after="0"/>
              <w:rPr>
                <w:sz w:val="21"/>
                <w:szCs w:val="21"/>
                <w:color w:val="auto"/>
              </w:rPr>
            </w:pPr>
          </w:p>
        </w:tc>
        <w:tc>
          <w:tcPr>
            <w:tcW w:w="2560" w:type="dxa"/>
            <w:vAlign w:val="bottom"/>
            <w:gridSpan w:val="4"/>
          </w:tcPr>
          <w:p>
            <w:pPr>
              <w:jc w:val="right"/>
              <w:ind w:right="1140"/>
              <w:spacing w:after="0"/>
              <w:rPr>
                <w:sz w:val="20"/>
                <w:szCs w:val="20"/>
                <w:color w:val="auto"/>
              </w:rPr>
            </w:pPr>
            <w:r>
              <w:rPr>
                <w:rFonts w:ascii="Times New Roman" w:cs="Times New Roman" w:eastAsia="Times New Roman" w:hAnsi="Times New Roman"/>
                <w:sz w:val="18"/>
                <w:szCs w:val="18"/>
                <w:b w:val="1"/>
                <w:bCs w:val="1"/>
                <w:color w:val="auto"/>
              </w:rPr>
              <w:t>As of</w:t>
            </w:r>
          </w:p>
        </w:tc>
      </w:tr>
      <w:tr>
        <w:trPr>
          <w:trHeight w:val="207"/>
        </w:trPr>
        <w:tc>
          <w:tcPr>
            <w:tcW w:w="8680" w:type="dxa"/>
            <w:vAlign w:val="bottom"/>
          </w:tcPr>
          <w:p>
            <w:pPr>
              <w:spacing w:after="0"/>
              <w:rPr>
                <w:sz w:val="18"/>
                <w:szCs w:val="18"/>
                <w:color w:val="auto"/>
              </w:rPr>
            </w:pPr>
          </w:p>
        </w:tc>
        <w:tc>
          <w:tcPr>
            <w:tcW w:w="1340" w:type="dxa"/>
            <w:vAlign w:val="bottom"/>
            <w:tcBorders>
              <w:top w:val="single" w:sz="8" w:color="auto"/>
            </w:tcBorders>
            <w:gridSpan w:val="2"/>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rPr>
              <w:t>March 31,</w:t>
            </w:r>
          </w:p>
        </w:tc>
        <w:tc>
          <w:tcPr>
            <w:tcW w:w="1120" w:type="dxa"/>
            <w:vAlign w:val="bottom"/>
            <w:tcBorders>
              <w:top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September 30,</w:t>
            </w:r>
          </w:p>
        </w:tc>
        <w:tc>
          <w:tcPr>
            <w:tcW w:w="100" w:type="dxa"/>
            <w:vAlign w:val="bottom"/>
          </w:tcPr>
          <w:p>
            <w:pPr>
              <w:spacing w:after="0"/>
              <w:rPr>
                <w:sz w:val="18"/>
                <w:szCs w:val="18"/>
                <w:color w:val="auto"/>
              </w:rPr>
            </w:pPr>
          </w:p>
        </w:tc>
      </w:tr>
      <w:tr>
        <w:trPr>
          <w:trHeight w:val="245"/>
        </w:trPr>
        <w:tc>
          <w:tcPr>
            <w:tcW w:w="8680" w:type="dxa"/>
            <w:vAlign w:val="bottom"/>
          </w:tcPr>
          <w:p>
            <w:pPr>
              <w:spacing w:after="0"/>
              <w:rPr>
                <w:sz w:val="21"/>
                <w:szCs w:val="21"/>
                <w:color w:val="auto"/>
              </w:rPr>
            </w:pPr>
          </w:p>
        </w:tc>
        <w:tc>
          <w:tcPr>
            <w:tcW w:w="112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2025</w:t>
            </w:r>
          </w:p>
        </w:tc>
        <w:tc>
          <w:tcPr>
            <w:tcW w:w="220" w:type="dxa"/>
            <w:vAlign w:val="bottom"/>
          </w:tcPr>
          <w:p>
            <w:pPr>
              <w:spacing w:after="0"/>
              <w:rPr>
                <w:sz w:val="21"/>
                <w:szCs w:val="21"/>
                <w:color w:val="auto"/>
              </w:rPr>
            </w:pPr>
          </w:p>
        </w:tc>
        <w:tc>
          <w:tcPr>
            <w:tcW w:w="112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2025</w:t>
            </w:r>
          </w:p>
        </w:tc>
        <w:tc>
          <w:tcPr>
            <w:tcW w:w="100" w:type="dxa"/>
            <w:vAlign w:val="bottom"/>
          </w:tcPr>
          <w:p>
            <w:pPr>
              <w:spacing w:after="0"/>
              <w:rPr>
                <w:sz w:val="21"/>
                <w:szCs w:val="21"/>
                <w:color w:val="auto"/>
              </w:rPr>
            </w:pPr>
          </w:p>
        </w:tc>
      </w:tr>
      <w:tr>
        <w:trPr>
          <w:trHeight w:val="223"/>
        </w:trPr>
        <w:tc>
          <w:tcPr>
            <w:tcW w:w="8680" w:type="dxa"/>
            <w:vAlign w:val="bottom"/>
          </w:tcPr>
          <w:p>
            <w:pPr>
              <w:spacing w:after="0"/>
              <w:rPr>
                <w:sz w:val="19"/>
                <w:szCs w:val="19"/>
                <w:color w:val="auto"/>
              </w:rPr>
            </w:pPr>
          </w:p>
        </w:tc>
        <w:tc>
          <w:tcPr>
            <w:tcW w:w="112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USD</w:t>
            </w:r>
          </w:p>
        </w:tc>
        <w:tc>
          <w:tcPr>
            <w:tcW w:w="220" w:type="dxa"/>
            <w:vAlign w:val="bottom"/>
          </w:tcPr>
          <w:p>
            <w:pPr>
              <w:spacing w:after="0"/>
              <w:rPr>
                <w:sz w:val="19"/>
                <w:szCs w:val="19"/>
                <w:color w:val="auto"/>
              </w:rPr>
            </w:pPr>
          </w:p>
        </w:tc>
        <w:tc>
          <w:tcPr>
            <w:tcW w:w="112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USD</w:t>
            </w:r>
          </w:p>
        </w:tc>
        <w:tc>
          <w:tcPr>
            <w:tcW w:w="100" w:type="dxa"/>
            <w:vAlign w:val="bottom"/>
          </w:tcPr>
          <w:p>
            <w:pPr>
              <w:spacing w:after="0"/>
              <w:rPr>
                <w:sz w:val="19"/>
                <w:szCs w:val="19"/>
                <w:color w:val="auto"/>
              </w:rPr>
            </w:pPr>
          </w:p>
        </w:tc>
      </w:tr>
      <w:tr>
        <w:trPr>
          <w:trHeight w:val="223"/>
        </w:trPr>
        <w:tc>
          <w:tcPr>
            <w:tcW w:w="8680" w:type="dxa"/>
            <w:vAlign w:val="bottom"/>
          </w:tcPr>
          <w:p>
            <w:pPr>
              <w:spacing w:after="0"/>
              <w:rPr>
                <w:sz w:val="19"/>
                <w:szCs w:val="19"/>
                <w:color w:val="auto"/>
              </w:rPr>
            </w:pPr>
          </w:p>
        </w:tc>
        <w:tc>
          <w:tcPr>
            <w:tcW w:w="112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(Audited)</w:t>
            </w:r>
          </w:p>
        </w:tc>
        <w:tc>
          <w:tcPr>
            <w:tcW w:w="220" w:type="dxa"/>
            <w:vAlign w:val="bottom"/>
          </w:tcPr>
          <w:p>
            <w:pPr>
              <w:spacing w:after="0"/>
              <w:rPr>
                <w:sz w:val="19"/>
                <w:szCs w:val="19"/>
                <w:color w:val="auto"/>
              </w:rPr>
            </w:pPr>
          </w:p>
        </w:tc>
        <w:tc>
          <w:tcPr>
            <w:tcW w:w="112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8"/>
              </w:rPr>
              <w:t>(Unaudited)</w:t>
            </w:r>
          </w:p>
        </w:tc>
        <w:tc>
          <w:tcPr>
            <w:tcW w:w="100" w:type="dxa"/>
            <w:vAlign w:val="bottom"/>
          </w:tcPr>
          <w:p>
            <w:pPr>
              <w:spacing w:after="0"/>
              <w:rPr>
                <w:sz w:val="19"/>
                <w:szCs w:val="19"/>
                <w:color w:val="auto"/>
              </w:rPr>
            </w:pPr>
          </w:p>
        </w:tc>
      </w:tr>
      <w:tr>
        <w:trPr>
          <w:trHeight w:val="194"/>
        </w:trPr>
        <w:tc>
          <w:tcPr>
            <w:tcW w:w="8680" w:type="dxa"/>
            <w:vAlign w:val="bottom"/>
          </w:tcPr>
          <w:p>
            <w:pPr>
              <w:spacing w:after="0" w:line="194" w:lineRule="exact"/>
              <w:rPr>
                <w:sz w:val="20"/>
                <w:szCs w:val="20"/>
                <w:color w:val="auto"/>
              </w:rPr>
            </w:pPr>
            <w:r>
              <w:rPr>
                <w:rFonts w:ascii="Times New Roman" w:cs="Times New Roman" w:eastAsia="Times New Roman" w:hAnsi="Times New Roman"/>
                <w:sz w:val="18"/>
                <w:szCs w:val="18"/>
                <w:b w:val="1"/>
                <w:bCs w:val="1"/>
                <w:color w:val="auto"/>
              </w:rPr>
              <w:t>Assets</w:t>
            </w:r>
          </w:p>
        </w:tc>
        <w:tc>
          <w:tcPr>
            <w:tcW w:w="112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120" w:type="dxa"/>
            <w:vAlign w:val="bottom"/>
          </w:tcPr>
          <w:p>
            <w:pPr>
              <w:spacing w:after="0"/>
              <w:rPr>
                <w:sz w:val="16"/>
                <w:szCs w:val="16"/>
                <w:color w:val="auto"/>
              </w:rPr>
            </w:pPr>
          </w:p>
        </w:tc>
        <w:tc>
          <w:tcPr>
            <w:tcW w:w="100" w:type="dxa"/>
            <w:vAlign w:val="bottom"/>
          </w:tcPr>
          <w:p>
            <w:pPr>
              <w:spacing w:after="0"/>
              <w:rPr>
                <w:sz w:val="16"/>
                <w:szCs w:val="16"/>
                <w:color w:val="auto"/>
              </w:rPr>
            </w:pPr>
          </w:p>
        </w:tc>
      </w:tr>
      <w:tr>
        <w:trPr>
          <w:trHeight w:val="238"/>
        </w:trPr>
        <w:tc>
          <w:tcPr>
            <w:tcW w:w="8680" w:type="dxa"/>
            <w:vAlign w:val="bottom"/>
          </w:tcPr>
          <w:p>
            <w:pPr>
              <w:spacing w:after="0"/>
              <w:rPr>
                <w:sz w:val="20"/>
                <w:szCs w:val="20"/>
                <w:color w:val="auto"/>
              </w:rPr>
            </w:pPr>
            <w:r>
              <w:rPr>
                <w:rFonts w:ascii="Times New Roman" w:cs="Times New Roman" w:eastAsia="Times New Roman" w:hAnsi="Times New Roman"/>
                <w:sz w:val="18"/>
                <w:szCs w:val="18"/>
                <w:b w:val="1"/>
                <w:bCs w:val="1"/>
                <w:color w:val="auto"/>
              </w:rPr>
              <w:t>Current assets:</w:t>
            </w:r>
          </w:p>
        </w:tc>
        <w:tc>
          <w:tcPr>
            <w:tcW w:w="112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120" w:type="dxa"/>
            <w:vAlign w:val="bottom"/>
          </w:tcPr>
          <w:p>
            <w:pPr>
              <w:spacing w:after="0"/>
              <w:rPr>
                <w:sz w:val="20"/>
                <w:szCs w:val="20"/>
                <w:color w:val="auto"/>
              </w:rPr>
            </w:pPr>
          </w:p>
        </w:tc>
        <w:tc>
          <w:tcPr>
            <w:tcW w:w="100" w:type="dxa"/>
            <w:vAlign w:val="bottom"/>
          </w:tcPr>
          <w:p>
            <w:pPr>
              <w:spacing w:after="0"/>
              <w:rPr>
                <w:sz w:val="20"/>
                <w:szCs w:val="20"/>
                <w:color w:val="auto"/>
              </w:rPr>
            </w:pPr>
          </w:p>
        </w:tc>
      </w:tr>
      <w:tr>
        <w:trPr>
          <w:trHeight w:val="216"/>
        </w:trPr>
        <w:tc>
          <w:tcPr>
            <w:tcW w:w="868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Cash and cash equivalents</w:t>
            </w:r>
          </w:p>
        </w:tc>
        <w:tc>
          <w:tcPr>
            <w:tcW w:w="13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10,669,134</w:t>
            </w:r>
          </w:p>
        </w:tc>
        <w:tc>
          <w:tcPr>
            <w:tcW w:w="122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11,358,839</w:t>
            </w:r>
          </w:p>
        </w:tc>
      </w:tr>
      <w:tr>
        <w:trPr>
          <w:trHeight w:val="216"/>
        </w:trPr>
        <w:tc>
          <w:tcPr>
            <w:tcW w:w="8680" w:type="dxa"/>
            <w:vAlign w:val="bottom"/>
          </w:tcPr>
          <w:p>
            <w:pPr>
              <w:spacing w:after="0"/>
              <w:rPr>
                <w:sz w:val="20"/>
                <w:szCs w:val="20"/>
                <w:color w:val="auto"/>
              </w:rPr>
            </w:pPr>
            <w:r>
              <w:rPr>
                <w:rFonts w:ascii="Times New Roman" w:cs="Times New Roman" w:eastAsia="Times New Roman" w:hAnsi="Times New Roman"/>
                <w:sz w:val="18"/>
                <w:szCs w:val="18"/>
                <w:color w:val="auto"/>
              </w:rPr>
              <w:t>Accounts receivable, net</w:t>
            </w:r>
          </w:p>
        </w:tc>
        <w:tc>
          <w:tcPr>
            <w:tcW w:w="134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3,102,393</w:t>
            </w:r>
          </w:p>
        </w:tc>
        <w:tc>
          <w:tcPr>
            <w:tcW w:w="122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4,231,847</w:t>
            </w:r>
          </w:p>
        </w:tc>
      </w:tr>
      <w:tr>
        <w:trPr>
          <w:trHeight w:val="216"/>
        </w:trPr>
        <w:tc>
          <w:tcPr>
            <w:tcW w:w="868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Investment in marketable debt securities</w:t>
            </w:r>
          </w:p>
        </w:tc>
        <w:tc>
          <w:tcPr>
            <w:tcW w:w="13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2,220</w:t>
            </w:r>
          </w:p>
        </w:tc>
        <w:tc>
          <w:tcPr>
            <w:tcW w:w="122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2,220</w:t>
            </w:r>
          </w:p>
        </w:tc>
      </w:tr>
      <w:tr>
        <w:trPr>
          <w:trHeight w:val="216"/>
        </w:trPr>
        <w:tc>
          <w:tcPr>
            <w:tcW w:w="8680" w:type="dxa"/>
            <w:vAlign w:val="bottom"/>
          </w:tcPr>
          <w:p>
            <w:pPr>
              <w:spacing w:after="0"/>
              <w:rPr>
                <w:sz w:val="20"/>
                <w:szCs w:val="20"/>
                <w:color w:val="auto"/>
              </w:rPr>
            </w:pPr>
            <w:r>
              <w:rPr>
                <w:rFonts w:ascii="Times New Roman" w:cs="Times New Roman" w:eastAsia="Times New Roman" w:hAnsi="Times New Roman"/>
                <w:sz w:val="18"/>
                <w:szCs w:val="18"/>
                <w:color w:val="auto"/>
              </w:rPr>
              <w:t>Inventories</w:t>
            </w:r>
          </w:p>
        </w:tc>
        <w:tc>
          <w:tcPr>
            <w:tcW w:w="134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3,066,276</w:t>
            </w:r>
          </w:p>
        </w:tc>
        <w:tc>
          <w:tcPr>
            <w:tcW w:w="122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3,163,816</w:t>
            </w:r>
          </w:p>
        </w:tc>
      </w:tr>
      <w:tr>
        <w:trPr>
          <w:trHeight w:val="216"/>
        </w:trPr>
        <w:tc>
          <w:tcPr>
            <w:tcW w:w="868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Notes receivable</w:t>
            </w:r>
          </w:p>
        </w:tc>
        <w:tc>
          <w:tcPr>
            <w:tcW w:w="13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103,522</w:t>
            </w:r>
          </w:p>
        </w:tc>
        <w:tc>
          <w:tcPr>
            <w:tcW w:w="122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w:t>
            </w:r>
          </w:p>
        </w:tc>
      </w:tr>
      <w:tr>
        <w:trPr>
          <w:trHeight w:val="216"/>
        </w:trPr>
        <w:tc>
          <w:tcPr>
            <w:tcW w:w="8680" w:type="dxa"/>
            <w:vAlign w:val="bottom"/>
          </w:tcPr>
          <w:p>
            <w:pPr>
              <w:spacing w:after="0"/>
              <w:rPr>
                <w:sz w:val="20"/>
                <w:szCs w:val="20"/>
                <w:color w:val="auto"/>
              </w:rPr>
            </w:pPr>
            <w:r>
              <w:rPr>
                <w:rFonts w:ascii="Times New Roman" w:cs="Times New Roman" w:eastAsia="Times New Roman" w:hAnsi="Times New Roman"/>
                <w:sz w:val="18"/>
                <w:szCs w:val="18"/>
                <w:color w:val="auto"/>
              </w:rPr>
              <w:t>Prepaid expenses and other current assets, net</w:t>
            </w:r>
          </w:p>
        </w:tc>
        <w:tc>
          <w:tcPr>
            <w:tcW w:w="134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2,027,376</w:t>
            </w:r>
          </w:p>
        </w:tc>
        <w:tc>
          <w:tcPr>
            <w:tcW w:w="122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1,615,100</w:t>
            </w:r>
          </w:p>
        </w:tc>
      </w:tr>
      <w:tr>
        <w:trPr>
          <w:trHeight w:val="249"/>
        </w:trPr>
        <w:tc>
          <w:tcPr>
            <w:tcW w:w="868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Due from related parties</w:t>
            </w:r>
          </w:p>
        </w:tc>
        <w:tc>
          <w:tcPr>
            <w:tcW w:w="13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4,634</w:t>
            </w:r>
          </w:p>
        </w:tc>
        <w:tc>
          <w:tcPr>
            <w:tcW w:w="122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w:t>
            </w:r>
          </w:p>
        </w:tc>
      </w:tr>
      <w:tr>
        <w:trPr>
          <w:trHeight w:val="210"/>
        </w:trPr>
        <w:tc>
          <w:tcPr>
            <w:tcW w:w="8680" w:type="dxa"/>
            <w:vAlign w:val="bottom"/>
            <w:tcBorders>
              <w:top w:val="single" w:sz="8" w:color="CCEEFF"/>
              <w:bottom w:val="single" w:sz="8" w:color="CCEEFF"/>
            </w:tcBorders>
          </w:tcPr>
          <w:p>
            <w:pPr>
              <w:spacing w:after="0" w:line="203" w:lineRule="exact"/>
              <w:rPr>
                <w:sz w:val="20"/>
                <w:szCs w:val="20"/>
                <w:color w:val="auto"/>
              </w:rPr>
            </w:pPr>
            <w:r>
              <w:rPr>
                <w:rFonts w:ascii="Times New Roman" w:cs="Times New Roman" w:eastAsia="Times New Roman" w:hAnsi="Times New Roman"/>
                <w:sz w:val="18"/>
                <w:szCs w:val="18"/>
                <w:b w:val="1"/>
                <w:bCs w:val="1"/>
                <w:color w:val="auto"/>
              </w:rPr>
              <w:t>Total current assets</w:t>
            </w:r>
          </w:p>
        </w:tc>
        <w:tc>
          <w:tcPr>
            <w:tcW w:w="1120" w:type="dxa"/>
            <w:vAlign w:val="bottom"/>
            <w:tcBorders>
              <w:top w:val="single" w:sz="8" w:color="auto"/>
              <w:bottom w:val="single" w:sz="8" w:color="auto"/>
            </w:tcBorders>
          </w:tcPr>
          <w:p>
            <w:pPr>
              <w:jc w:val="right"/>
              <w:spacing w:after="0" w:line="203" w:lineRule="exact"/>
              <w:rPr>
                <w:sz w:val="20"/>
                <w:szCs w:val="20"/>
                <w:color w:val="auto"/>
              </w:rPr>
            </w:pPr>
            <w:r>
              <w:rPr>
                <w:rFonts w:ascii="Times New Roman" w:cs="Times New Roman" w:eastAsia="Times New Roman" w:hAnsi="Times New Roman"/>
                <w:sz w:val="18"/>
                <w:szCs w:val="18"/>
                <w:color w:val="auto"/>
              </w:rPr>
              <w:t>18,975,555</w:t>
            </w:r>
          </w:p>
        </w:tc>
        <w:tc>
          <w:tcPr>
            <w:tcW w:w="220" w:type="dxa"/>
            <w:vAlign w:val="bottom"/>
            <w:tcBorders>
              <w:top w:val="single" w:sz="8" w:color="CCEEFF"/>
              <w:bottom w:val="single" w:sz="8" w:color="CCEEFF"/>
            </w:tcBorders>
          </w:tcPr>
          <w:p>
            <w:pPr>
              <w:spacing w:after="0"/>
              <w:rPr>
                <w:sz w:val="18"/>
                <w:szCs w:val="18"/>
                <w:color w:val="auto"/>
              </w:rPr>
            </w:pPr>
          </w:p>
        </w:tc>
        <w:tc>
          <w:tcPr>
            <w:tcW w:w="1120" w:type="dxa"/>
            <w:vAlign w:val="bottom"/>
            <w:tcBorders>
              <w:top w:val="single" w:sz="8" w:color="auto"/>
              <w:bottom w:val="single" w:sz="8" w:color="auto"/>
            </w:tcBorders>
          </w:tcPr>
          <w:p>
            <w:pPr>
              <w:jc w:val="right"/>
              <w:spacing w:after="0" w:line="203" w:lineRule="exact"/>
              <w:rPr>
                <w:sz w:val="20"/>
                <w:szCs w:val="20"/>
                <w:color w:val="auto"/>
              </w:rPr>
            </w:pPr>
            <w:r>
              <w:rPr>
                <w:rFonts w:ascii="Times New Roman" w:cs="Times New Roman" w:eastAsia="Times New Roman" w:hAnsi="Times New Roman"/>
                <w:sz w:val="18"/>
                <w:szCs w:val="18"/>
                <w:color w:val="auto"/>
              </w:rPr>
              <w:t>20,371,822</w:t>
            </w:r>
          </w:p>
        </w:tc>
        <w:tc>
          <w:tcPr>
            <w:tcW w:w="100" w:type="dxa"/>
            <w:vAlign w:val="bottom"/>
            <w:tcBorders>
              <w:top w:val="single" w:sz="8" w:color="CCEEFF"/>
              <w:bottom w:val="single" w:sz="8" w:color="CCEEFF"/>
            </w:tcBorders>
          </w:tcPr>
          <w:p>
            <w:pPr>
              <w:spacing w:after="0"/>
              <w:rPr>
                <w:sz w:val="18"/>
                <w:szCs w:val="18"/>
                <w:color w:val="auto"/>
              </w:rPr>
            </w:pPr>
          </w:p>
        </w:tc>
      </w:tr>
      <w:tr>
        <w:trPr>
          <w:trHeight w:val="216"/>
        </w:trPr>
        <w:tc>
          <w:tcPr>
            <w:tcW w:w="868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Property, plant and equipment, net</w:t>
            </w:r>
          </w:p>
        </w:tc>
        <w:tc>
          <w:tcPr>
            <w:tcW w:w="11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3,224,673</w:t>
            </w:r>
          </w:p>
        </w:tc>
        <w:tc>
          <w:tcPr>
            <w:tcW w:w="220" w:type="dxa"/>
            <w:vAlign w:val="bottom"/>
            <w:shd w:val="clear" w:color="auto" w:fill="CCEEFF"/>
          </w:tcPr>
          <w:p>
            <w:pPr>
              <w:spacing w:after="0"/>
              <w:rPr>
                <w:sz w:val="18"/>
                <w:szCs w:val="18"/>
                <w:color w:val="auto"/>
              </w:rPr>
            </w:pPr>
          </w:p>
        </w:tc>
        <w:tc>
          <w:tcPr>
            <w:tcW w:w="11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3,493,481</w:t>
            </w:r>
          </w:p>
        </w:tc>
        <w:tc>
          <w:tcPr>
            <w:tcW w:w="100" w:type="dxa"/>
            <w:vAlign w:val="bottom"/>
            <w:shd w:val="clear" w:color="auto" w:fill="CCEEFF"/>
          </w:tcPr>
          <w:p>
            <w:pPr>
              <w:spacing w:after="0"/>
              <w:rPr>
                <w:sz w:val="18"/>
                <w:szCs w:val="18"/>
                <w:color w:val="auto"/>
              </w:rPr>
            </w:pPr>
          </w:p>
        </w:tc>
      </w:tr>
      <w:tr>
        <w:trPr>
          <w:trHeight w:val="216"/>
        </w:trPr>
        <w:tc>
          <w:tcPr>
            <w:tcW w:w="8680" w:type="dxa"/>
            <w:vAlign w:val="bottom"/>
          </w:tcPr>
          <w:p>
            <w:pPr>
              <w:spacing w:after="0"/>
              <w:rPr>
                <w:sz w:val="20"/>
                <w:szCs w:val="20"/>
                <w:color w:val="auto"/>
              </w:rPr>
            </w:pPr>
            <w:r>
              <w:rPr>
                <w:rFonts w:ascii="Times New Roman" w:cs="Times New Roman" w:eastAsia="Times New Roman" w:hAnsi="Times New Roman"/>
                <w:sz w:val="18"/>
                <w:szCs w:val="18"/>
                <w:color w:val="auto"/>
              </w:rPr>
              <w:t>Right-of-use assets – Operating lease</w:t>
            </w:r>
          </w:p>
        </w:tc>
        <w:tc>
          <w:tcPr>
            <w:tcW w:w="134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983,097</w:t>
            </w:r>
          </w:p>
        </w:tc>
        <w:tc>
          <w:tcPr>
            <w:tcW w:w="122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1,531,941</w:t>
            </w:r>
          </w:p>
        </w:tc>
      </w:tr>
      <w:tr>
        <w:trPr>
          <w:trHeight w:val="216"/>
        </w:trPr>
        <w:tc>
          <w:tcPr>
            <w:tcW w:w="868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Other non-current assets</w:t>
            </w:r>
          </w:p>
        </w:tc>
        <w:tc>
          <w:tcPr>
            <w:tcW w:w="13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178,786</w:t>
            </w:r>
          </w:p>
        </w:tc>
        <w:tc>
          <w:tcPr>
            <w:tcW w:w="122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174,713</w:t>
            </w:r>
          </w:p>
        </w:tc>
      </w:tr>
      <w:tr>
        <w:trPr>
          <w:trHeight w:val="237"/>
        </w:trPr>
        <w:tc>
          <w:tcPr>
            <w:tcW w:w="8680" w:type="dxa"/>
            <w:vAlign w:val="bottom"/>
          </w:tcPr>
          <w:p>
            <w:pPr>
              <w:spacing w:after="0"/>
              <w:rPr>
                <w:sz w:val="20"/>
                <w:szCs w:val="20"/>
                <w:color w:val="auto"/>
              </w:rPr>
            </w:pPr>
            <w:r>
              <w:rPr>
                <w:rFonts w:ascii="Times New Roman" w:cs="Times New Roman" w:eastAsia="Times New Roman" w:hAnsi="Times New Roman"/>
                <w:sz w:val="18"/>
                <w:szCs w:val="18"/>
                <w:color w:val="auto"/>
              </w:rPr>
              <w:t>Deferred tax assets</w:t>
            </w:r>
          </w:p>
        </w:tc>
        <w:tc>
          <w:tcPr>
            <w:tcW w:w="134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92,026</w:t>
            </w:r>
          </w:p>
        </w:tc>
        <w:tc>
          <w:tcPr>
            <w:tcW w:w="122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92,026</w:t>
            </w:r>
          </w:p>
        </w:tc>
      </w:tr>
      <w:tr>
        <w:trPr>
          <w:trHeight w:val="236"/>
        </w:trPr>
        <w:tc>
          <w:tcPr>
            <w:tcW w:w="8680" w:type="dxa"/>
            <w:vAlign w:val="bottom"/>
            <w:tcBorders>
              <w:top w:val="single" w:sz="8" w:color="CCEEFF"/>
              <w:bottom w:val="single" w:sz="8" w:color="CCEEFF"/>
            </w:tcBorders>
            <w:shd w:val="clear" w:color="auto" w:fill="CCEEFF"/>
          </w:tcPr>
          <w:p>
            <w:pPr>
              <w:spacing w:after="0"/>
              <w:rPr>
                <w:sz w:val="20"/>
                <w:szCs w:val="20"/>
                <w:color w:val="auto"/>
              </w:rPr>
            </w:pPr>
            <w:r>
              <w:rPr>
                <w:rFonts w:ascii="Times New Roman" w:cs="Times New Roman" w:eastAsia="Times New Roman" w:hAnsi="Times New Roman"/>
                <w:sz w:val="18"/>
                <w:szCs w:val="18"/>
                <w:b w:val="1"/>
                <w:bCs w:val="1"/>
                <w:color w:val="auto"/>
              </w:rPr>
              <w:t>Total non-current assets</w:t>
            </w: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4,478,582</w:t>
            </w:r>
          </w:p>
        </w:tc>
        <w:tc>
          <w:tcPr>
            <w:tcW w:w="220" w:type="dxa"/>
            <w:vAlign w:val="bottom"/>
            <w:tcBorders>
              <w:top w:val="single" w:sz="8" w:color="CCEEFF"/>
              <w:bottom w:val="single" w:sz="8" w:color="CCEEFF"/>
            </w:tcBorders>
            <w:shd w:val="clear" w:color="auto" w:fill="CCEEFF"/>
          </w:tcPr>
          <w:p>
            <w:pPr>
              <w:spacing w:after="0"/>
              <w:rPr>
                <w:sz w:val="20"/>
                <w:szCs w:val="20"/>
                <w:color w:val="auto"/>
              </w:rPr>
            </w:pP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5,292,161</w:t>
            </w:r>
          </w:p>
        </w:tc>
        <w:tc>
          <w:tcPr>
            <w:tcW w:w="100" w:type="dxa"/>
            <w:vAlign w:val="bottom"/>
            <w:tcBorders>
              <w:top w:val="single" w:sz="8" w:color="CCEEFF"/>
              <w:bottom w:val="single" w:sz="8" w:color="CCEEFF"/>
            </w:tcBorders>
            <w:shd w:val="clear" w:color="auto" w:fill="CCEEFF"/>
          </w:tcPr>
          <w:p>
            <w:pPr>
              <w:spacing w:after="0"/>
              <w:rPr>
                <w:sz w:val="20"/>
                <w:szCs w:val="20"/>
                <w:color w:val="auto"/>
              </w:rPr>
            </w:pPr>
          </w:p>
        </w:tc>
      </w:tr>
      <w:tr>
        <w:trPr>
          <w:trHeight w:val="210"/>
        </w:trPr>
        <w:tc>
          <w:tcPr>
            <w:tcW w:w="8680" w:type="dxa"/>
            <w:vAlign w:val="bottom"/>
            <w:tcBorders>
              <w:bottom w:val="single" w:sz="8" w:color="CCEEFF"/>
            </w:tcBorders>
          </w:tcPr>
          <w:p>
            <w:pPr>
              <w:spacing w:after="0" w:line="203" w:lineRule="exact"/>
              <w:rPr>
                <w:sz w:val="20"/>
                <w:szCs w:val="20"/>
                <w:color w:val="auto"/>
              </w:rPr>
            </w:pPr>
            <w:r>
              <w:rPr>
                <w:rFonts w:ascii="Times New Roman" w:cs="Times New Roman" w:eastAsia="Times New Roman" w:hAnsi="Times New Roman"/>
                <w:sz w:val="18"/>
                <w:szCs w:val="18"/>
                <w:b w:val="1"/>
                <w:bCs w:val="1"/>
                <w:color w:val="auto"/>
              </w:rPr>
              <w:t>TOTAL ASSETS</w:t>
            </w:r>
          </w:p>
        </w:tc>
        <w:tc>
          <w:tcPr>
            <w:tcW w:w="1120" w:type="dxa"/>
            <w:vAlign w:val="bottom"/>
            <w:tcBorders>
              <w:bottom w:val="single" w:sz="8" w:color="auto"/>
            </w:tcBorders>
          </w:tcPr>
          <w:p>
            <w:pPr>
              <w:jc w:val="right"/>
              <w:spacing w:after="0" w:line="203" w:lineRule="exact"/>
              <w:rPr>
                <w:sz w:val="20"/>
                <w:szCs w:val="20"/>
                <w:color w:val="auto"/>
              </w:rPr>
            </w:pPr>
            <w:r>
              <w:rPr>
                <w:rFonts w:ascii="Times New Roman" w:cs="Times New Roman" w:eastAsia="Times New Roman" w:hAnsi="Times New Roman"/>
                <w:sz w:val="18"/>
                <w:szCs w:val="18"/>
                <w:color w:val="auto"/>
              </w:rPr>
              <w:t>23,454,137</w:t>
            </w:r>
          </w:p>
        </w:tc>
        <w:tc>
          <w:tcPr>
            <w:tcW w:w="220" w:type="dxa"/>
            <w:vAlign w:val="bottom"/>
            <w:tcBorders>
              <w:bottom w:val="single" w:sz="8" w:color="CCEEFF"/>
            </w:tcBorders>
          </w:tcPr>
          <w:p>
            <w:pPr>
              <w:spacing w:after="0"/>
              <w:rPr>
                <w:sz w:val="18"/>
                <w:szCs w:val="18"/>
                <w:color w:val="auto"/>
              </w:rPr>
            </w:pPr>
          </w:p>
        </w:tc>
        <w:tc>
          <w:tcPr>
            <w:tcW w:w="1120" w:type="dxa"/>
            <w:vAlign w:val="bottom"/>
            <w:tcBorders>
              <w:bottom w:val="single" w:sz="8" w:color="auto"/>
            </w:tcBorders>
          </w:tcPr>
          <w:p>
            <w:pPr>
              <w:jc w:val="right"/>
              <w:spacing w:after="0" w:line="203" w:lineRule="exact"/>
              <w:rPr>
                <w:sz w:val="20"/>
                <w:szCs w:val="20"/>
                <w:color w:val="auto"/>
              </w:rPr>
            </w:pPr>
            <w:r>
              <w:rPr>
                <w:rFonts w:ascii="Times New Roman" w:cs="Times New Roman" w:eastAsia="Times New Roman" w:hAnsi="Times New Roman"/>
                <w:sz w:val="18"/>
                <w:szCs w:val="18"/>
                <w:color w:val="auto"/>
              </w:rPr>
              <w:t>25,663,983</w:t>
            </w:r>
          </w:p>
        </w:tc>
        <w:tc>
          <w:tcPr>
            <w:tcW w:w="100" w:type="dxa"/>
            <w:vAlign w:val="bottom"/>
            <w:tcBorders>
              <w:bottom w:val="single" w:sz="8" w:color="CCEEFF"/>
            </w:tcBorders>
          </w:tcPr>
          <w:p>
            <w:pPr>
              <w:spacing w:after="0"/>
              <w:rPr>
                <w:sz w:val="18"/>
                <w:szCs w:val="18"/>
                <w:color w:val="auto"/>
              </w:rPr>
            </w:pPr>
          </w:p>
        </w:tc>
      </w:tr>
      <w:tr>
        <w:trPr>
          <w:trHeight w:val="135"/>
        </w:trPr>
        <w:tc>
          <w:tcPr>
            <w:tcW w:w="8680" w:type="dxa"/>
            <w:vAlign w:val="bottom"/>
            <w:shd w:val="clear" w:color="auto" w:fill="CCEEFF"/>
          </w:tcPr>
          <w:p>
            <w:pPr>
              <w:spacing w:after="0"/>
              <w:rPr>
                <w:sz w:val="11"/>
                <w:szCs w:val="11"/>
                <w:color w:val="auto"/>
              </w:rPr>
            </w:pPr>
          </w:p>
        </w:tc>
        <w:tc>
          <w:tcPr>
            <w:tcW w:w="112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1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216"/>
        </w:trPr>
        <w:tc>
          <w:tcPr>
            <w:tcW w:w="8680" w:type="dxa"/>
            <w:vAlign w:val="bottom"/>
          </w:tcPr>
          <w:p>
            <w:pPr>
              <w:spacing w:after="0"/>
              <w:rPr>
                <w:sz w:val="20"/>
                <w:szCs w:val="20"/>
                <w:color w:val="auto"/>
              </w:rPr>
            </w:pPr>
            <w:r>
              <w:rPr>
                <w:rFonts w:ascii="Times New Roman" w:cs="Times New Roman" w:eastAsia="Times New Roman" w:hAnsi="Times New Roman"/>
                <w:sz w:val="18"/>
                <w:szCs w:val="18"/>
                <w:b w:val="1"/>
                <w:bCs w:val="1"/>
                <w:color w:val="auto"/>
              </w:rPr>
              <w:t>Liabilities</w:t>
            </w:r>
          </w:p>
        </w:tc>
        <w:tc>
          <w:tcPr>
            <w:tcW w:w="11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868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b w:val="1"/>
                <w:bCs w:val="1"/>
                <w:color w:val="auto"/>
              </w:rPr>
              <w:t>Current liabilities:</w:t>
            </w:r>
          </w:p>
        </w:tc>
        <w:tc>
          <w:tcPr>
            <w:tcW w:w="11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6"/>
        </w:trPr>
        <w:tc>
          <w:tcPr>
            <w:tcW w:w="8680" w:type="dxa"/>
            <w:vAlign w:val="bottom"/>
          </w:tcPr>
          <w:p>
            <w:pPr>
              <w:spacing w:after="0"/>
              <w:rPr>
                <w:sz w:val="20"/>
                <w:szCs w:val="20"/>
                <w:color w:val="auto"/>
              </w:rPr>
            </w:pPr>
            <w:r>
              <w:rPr>
                <w:rFonts w:ascii="Times New Roman" w:cs="Times New Roman" w:eastAsia="Times New Roman" w:hAnsi="Times New Roman"/>
                <w:sz w:val="18"/>
                <w:szCs w:val="18"/>
                <w:color w:val="auto"/>
              </w:rPr>
              <w:t>Bank loans – current</w:t>
            </w:r>
          </w:p>
        </w:tc>
        <w:tc>
          <w:tcPr>
            <w:tcW w:w="134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685,016</w:t>
            </w:r>
          </w:p>
        </w:tc>
        <w:tc>
          <w:tcPr>
            <w:tcW w:w="122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702,949</w:t>
            </w:r>
          </w:p>
        </w:tc>
      </w:tr>
      <w:tr>
        <w:trPr>
          <w:trHeight w:val="216"/>
        </w:trPr>
        <w:tc>
          <w:tcPr>
            <w:tcW w:w="868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Operating lease liabilities – current</w:t>
            </w:r>
          </w:p>
        </w:tc>
        <w:tc>
          <w:tcPr>
            <w:tcW w:w="13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153,579</w:t>
            </w:r>
          </w:p>
        </w:tc>
        <w:tc>
          <w:tcPr>
            <w:tcW w:w="122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435,701</w:t>
            </w:r>
          </w:p>
        </w:tc>
      </w:tr>
      <w:tr>
        <w:trPr>
          <w:trHeight w:val="216"/>
        </w:trPr>
        <w:tc>
          <w:tcPr>
            <w:tcW w:w="8680" w:type="dxa"/>
            <w:vAlign w:val="bottom"/>
          </w:tcPr>
          <w:p>
            <w:pPr>
              <w:spacing w:after="0"/>
              <w:rPr>
                <w:sz w:val="20"/>
                <w:szCs w:val="20"/>
                <w:color w:val="auto"/>
              </w:rPr>
            </w:pPr>
            <w:r>
              <w:rPr>
                <w:rFonts w:ascii="Times New Roman" w:cs="Times New Roman" w:eastAsia="Times New Roman" w:hAnsi="Times New Roman"/>
                <w:sz w:val="18"/>
                <w:szCs w:val="18"/>
                <w:color w:val="auto"/>
              </w:rPr>
              <w:t>Operating lease liabilities – current – related parties</w:t>
            </w:r>
          </w:p>
        </w:tc>
        <w:tc>
          <w:tcPr>
            <w:tcW w:w="134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251,567</w:t>
            </w:r>
          </w:p>
        </w:tc>
        <w:tc>
          <w:tcPr>
            <w:tcW w:w="122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149,188</w:t>
            </w:r>
          </w:p>
        </w:tc>
      </w:tr>
      <w:tr>
        <w:trPr>
          <w:trHeight w:val="216"/>
        </w:trPr>
        <w:tc>
          <w:tcPr>
            <w:tcW w:w="868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Accounts payable</w:t>
            </w:r>
          </w:p>
        </w:tc>
        <w:tc>
          <w:tcPr>
            <w:tcW w:w="13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1,964,406</w:t>
            </w:r>
          </w:p>
        </w:tc>
        <w:tc>
          <w:tcPr>
            <w:tcW w:w="122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1,716,120</w:t>
            </w:r>
          </w:p>
        </w:tc>
      </w:tr>
      <w:tr>
        <w:trPr>
          <w:trHeight w:val="216"/>
        </w:trPr>
        <w:tc>
          <w:tcPr>
            <w:tcW w:w="8680" w:type="dxa"/>
            <w:vAlign w:val="bottom"/>
          </w:tcPr>
          <w:p>
            <w:pPr>
              <w:spacing w:after="0"/>
              <w:rPr>
                <w:sz w:val="20"/>
                <w:szCs w:val="20"/>
                <w:color w:val="auto"/>
              </w:rPr>
            </w:pPr>
            <w:r>
              <w:rPr>
                <w:rFonts w:ascii="Times New Roman" w:cs="Times New Roman" w:eastAsia="Times New Roman" w:hAnsi="Times New Roman"/>
                <w:sz w:val="18"/>
                <w:szCs w:val="18"/>
                <w:color w:val="auto"/>
              </w:rPr>
              <w:t>Accounts payable – related parties</w:t>
            </w:r>
          </w:p>
        </w:tc>
        <w:tc>
          <w:tcPr>
            <w:tcW w:w="134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2,302,962</w:t>
            </w:r>
          </w:p>
        </w:tc>
        <w:tc>
          <w:tcPr>
            <w:tcW w:w="122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1,779,196</w:t>
            </w:r>
          </w:p>
        </w:tc>
      </w:tr>
      <w:tr>
        <w:trPr>
          <w:trHeight w:val="216"/>
        </w:trPr>
        <w:tc>
          <w:tcPr>
            <w:tcW w:w="868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Accruals and other current liabilities</w:t>
            </w:r>
          </w:p>
        </w:tc>
        <w:tc>
          <w:tcPr>
            <w:tcW w:w="13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679,227</w:t>
            </w:r>
          </w:p>
        </w:tc>
        <w:tc>
          <w:tcPr>
            <w:tcW w:w="122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787,799</w:t>
            </w:r>
          </w:p>
        </w:tc>
      </w:tr>
      <w:tr>
        <w:trPr>
          <w:trHeight w:val="216"/>
        </w:trPr>
        <w:tc>
          <w:tcPr>
            <w:tcW w:w="8680" w:type="dxa"/>
            <w:vAlign w:val="bottom"/>
          </w:tcPr>
          <w:p>
            <w:pPr>
              <w:spacing w:after="0"/>
              <w:rPr>
                <w:sz w:val="20"/>
                <w:szCs w:val="20"/>
                <w:color w:val="auto"/>
              </w:rPr>
            </w:pPr>
            <w:r>
              <w:rPr>
                <w:rFonts w:ascii="Times New Roman" w:cs="Times New Roman" w:eastAsia="Times New Roman" w:hAnsi="Times New Roman"/>
                <w:sz w:val="18"/>
                <w:szCs w:val="18"/>
                <w:color w:val="auto"/>
              </w:rPr>
              <w:t>Contract liabilities</w:t>
            </w:r>
          </w:p>
        </w:tc>
        <w:tc>
          <w:tcPr>
            <w:tcW w:w="134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427,110</w:t>
            </w:r>
          </w:p>
        </w:tc>
        <w:tc>
          <w:tcPr>
            <w:tcW w:w="122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140,235</w:t>
            </w:r>
          </w:p>
        </w:tc>
      </w:tr>
      <w:tr>
        <w:trPr>
          <w:trHeight w:val="216"/>
        </w:trPr>
        <w:tc>
          <w:tcPr>
            <w:tcW w:w="868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Loans from related parties</w:t>
            </w:r>
          </w:p>
        </w:tc>
        <w:tc>
          <w:tcPr>
            <w:tcW w:w="13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200,000</w:t>
            </w:r>
          </w:p>
        </w:tc>
        <w:tc>
          <w:tcPr>
            <w:tcW w:w="122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429,175</w:t>
            </w:r>
          </w:p>
        </w:tc>
      </w:tr>
      <w:tr>
        <w:trPr>
          <w:trHeight w:val="216"/>
        </w:trPr>
        <w:tc>
          <w:tcPr>
            <w:tcW w:w="8680" w:type="dxa"/>
            <w:vAlign w:val="bottom"/>
          </w:tcPr>
          <w:p>
            <w:pPr>
              <w:spacing w:after="0"/>
              <w:rPr>
                <w:sz w:val="20"/>
                <w:szCs w:val="20"/>
                <w:color w:val="auto"/>
              </w:rPr>
            </w:pPr>
            <w:r>
              <w:rPr>
                <w:rFonts w:ascii="Times New Roman" w:cs="Times New Roman" w:eastAsia="Times New Roman" w:hAnsi="Times New Roman"/>
                <w:sz w:val="18"/>
                <w:szCs w:val="18"/>
                <w:color w:val="auto"/>
              </w:rPr>
              <w:t>Due to related parties</w:t>
            </w:r>
          </w:p>
        </w:tc>
        <w:tc>
          <w:tcPr>
            <w:tcW w:w="134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w:t>
            </w:r>
          </w:p>
        </w:tc>
        <w:tc>
          <w:tcPr>
            <w:tcW w:w="122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43,628</w:t>
            </w:r>
          </w:p>
        </w:tc>
      </w:tr>
      <w:tr>
        <w:trPr>
          <w:trHeight w:val="250"/>
        </w:trPr>
        <w:tc>
          <w:tcPr>
            <w:tcW w:w="868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Income tax payable</w:t>
            </w:r>
          </w:p>
        </w:tc>
        <w:tc>
          <w:tcPr>
            <w:tcW w:w="13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423,693</w:t>
            </w:r>
          </w:p>
        </w:tc>
        <w:tc>
          <w:tcPr>
            <w:tcW w:w="122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1,105,748</w:t>
            </w:r>
          </w:p>
        </w:tc>
      </w:tr>
      <w:tr>
        <w:trPr>
          <w:trHeight w:val="210"/>
        </w:trPr>
        <w:tc>
          <w:tcPr>
            <w:tcW w:w="8680" w:type="dxa"/>
            <w:vAlign w:val="bottom"/>
            <w:tcBorders>
              <w:top w:val="single" w:sz="8" w:color="CCEEFF"/>
              <w:bottom w:val="single" w:sz="8" w:color="CCEEFF"/>
            </w:tcBorders>
          </w:tcPr>
          <w:p>
            <w:pPr>
              <w:spacing w:after="0" w:line="203" w:lineRule="exact"/>
              <w:rPr>
                <w:sz w:val="20"/>
                <w:szCs w:val="20"/>
                <w:color w:val="auto"/>
              </w:rPr>
            </w:pPr>
            <w:r>
              <w:rPr>
                <w:rFonts w:ascii="Times New Roman" w:cs="Times New Roman" w:eastAsia="Times New Roman" w:hAnsi="Times New Roman"/>
                <w:sz w:val="18"/>
                <w:szCs w:val="18"/>
                <w:b w:val="1"/>
                <w:bCs w:val="1"/>
                <w:color w:val="auto"/>
              </w:rPr>
              <w:t>Total current liabilities</w:t>
            </w:r>
          </w:p>
        </w:tc>
        <w:tc>
          <w:tcPr>
            <w:tcW w:w="1120" w:type="dxa"/>
            <w:vAlign w:val="bottom"/>
            <w:tcBorders>
              <w:top w:val="single" w:sz="8" w:color="auto"/>
              <w:bottom w:val="single" w:sz="8" w:color="auto"/>
            </w:tcBorders>
          </w:tcPr>
          <w:p>
            <w:pPr>
              <w:jc w:val="right"/>
              <w:spacing w:after="0" w:line="203" w:lineRule="exact"/>
              <w:rPr>
                <w:sz w:val="20"/>
                <w:szCs w:val="20"/>
                <w:color w:val="auto"/>
              </w:rPr>
            </w:pPr>
            <w:r>
              <w:rPr>
                <w:rFonts w:ascii="Times New Roman" w:cs="Times New Roman" w:eastAsia="Times New Roman" w:hAnsi="Times New Roman"/>
                <w:sz w:val="18"/>
                <w:szCs w:val="18"/>
                <w:color w:val="auto"/>
              </w:rPr>
              <w:t>7,087,560</w:t>
            </w:r>
          </w:p>
        </w:tc>
        <w:tc>
          <w:tcPr>
            <w:tcW w:w="220" w:type="dxa"/>
            <w:vAlign w:val="bottom"/>
            <w:tcBorders>
              <w:top w:val="single" w:sz="8" w:color="CCEEFF"/>
              <w:bottom w:val="single" w:sz="8" w:color="CCEEFF"/>
            </w:tcBorders>
          </w:tcPr>
          <w:p>
            <w:pPr>
              <w:spacing w:after="0"/>
              <w:rPr>
                <w:sz w:val="18"/>
                <w:szCs w:val="18"/>
                <w:color w:val="auto"/>
              </w:rPr>
            </w:pPr>
          </w:p>
        </w:tc>
        <w:tc>
          <w:tcPr>
            <w:tcW w:w="1120" w:type="dxa"/>
            <w:vAlign w:val="bottom"/>
            <w:tcBorders>
              <w:top w:val="single" w:sz="8" w:color="auto"/>
              <w:bottom w:val="single" w:sz="8" w:color="auto"/>
            </w:tcBorders>
          </w:tcPr>
          <w:p>
            <w:pPr>
              <w:jc w:val="right"/>
              <w:spacing w:after="0" w:line="203" w:lineRule="exact"/>
              <w:rPr>
                <w:sz w:val="20"/>
                <w:szCs w:val="20"/>
                <w:color w:val="auto"/>
              </w:rPr>
            </w:pPr>
            <w:r>
              <w:rPr>
                <w:rFonts w:ascii="Times New Roman" w:cs="Times New Roman" w:eastAsia="Times New Roman" w:hAnsi="Times New Roman"/>
                <w:sz w:val="18"/>
                <w:szCs w:val="18"/>
                <w:color w:val="auto"/>
              </w:rPr>
              <w:t>7,289,739</w:t>
            </w:r>
          </w:p>
        </w:tc>
        <w:tc>
          <w:tcPr>
            <w:tcW w:w="100" w:type="dxa"/>
            <w:vAlign w:val="bottom"/>
            <w:tcBorders>
              <w:top w:val="single" w:sz="8" w:color="CCEEFF"/>
              <w:bottom w:val="single" w:sz="8" w:color="CCEEFF"/>
            </w:tcBorders>
          </w:tcPr>
          <w:p>
            <w:pPr>
              <w:spacing w:after="0"/>
              <w:rPr>
                <w:sz w:val="18"/>
                <w:szCs w:val="18"/>
                <w:color w:val="auto"/>
              </w:rPr>
            </w:pPr>
          </w:p>
        </w:tc>
      </w:tr>
      <w:tr>
        <w:trPr>
          <w:trHeight w:val="135"/>
        </w:trPr>
        <w:tc>
          <w:tcPr>
            <w:tcW w:w="8680" w:type="dxa"/>
            <w:vAlign w:val="bottom"/>
            <w:shd w:val="clear" w:color="auto" w:fill="CCEEFF"/>
          </w:tcPr>
          <w:p>
            <w:pPr>
              <w:spacing w:after="0"/>
              <w:rPr>
                <w:sz w:val="11"/>
                <w:szCs w:val="11"/>
                <w:color w:val="auto"/>
              </w:rPr>
            </w:pPr>
          </w:p>
        </w:tc>
        <w:tc>
          <w:tcPr>
            <w:tcW w:w="112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1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216"/>
        </w:trPr>
        <w:tc>
          <w:tcPr>
            <w:tcW w:w="8680" w:type="dxa"/>
            <w:vAlign w:val="bottom"/>
          </w:tcPr>
          <w:p>
            <w:pPr>
              <w:spacing w:after="0"/>
              <w:rPr>
                <w:sz w:val="20"/>
                <w:szCs w:val="20"/>
                <w:color w:val="auto"/>
              </w:rPr>
            </w:pPr>
            <w:r>
              <w:rPr>
                <w:rFonts w:ascii="Times New Roman" w:cs="Times New Roman" w:eastAsia="Times New Roman" w:hAnsi="Times New Roman"/>
                <w:sz w:val="18"/>
                <w:szCs w:val="18"/>
                <w:b w:val="1"/>
                <w:bCs w:val="1"/>
                <w:color w:val="auto"/>
              </w:rPr>
              <w:t>Non-current liabilities</w:t>
            </w:r>
          </w:p>
        </w:tc>
        <w:tc>
          <w:tcPr>
            <w:tcW w:w="11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868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Bank loans – non-current</w:t>
            </w:r>
          </w:p>
        </w:tc>
        <w:tc>
          <w:tcPr>
            <w:tcW w:w="13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706,811</w:t>
            </w:r>
          </w:p>
        </w:tc>
        <w:tc>
          <w:tcPr>
            <w:tcW w:w="122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345,859</w:t>
            </w:r>
          </w:p>
        </w:tc>
      </w:tr>
      <w:tr>
        <w:trPr>
          <w:trHeight w:val="216"/>
        </w:trPr>
        <w:tc>
          <w:tcPr>
            <w:tcW w:w="8680" w:type="dxa"/>
            <w:vAlign w:val="bottom"/>
          </w:tcPr>
          <w:p>
            <w:pPr>
              <w:spacing w:after="0"/>
              <w:rPr>
                <w:sz w:val="20"/>
                <w:szCs w:val="20"/>
                <w:color w:val="auto"/>
              </w:rPr>
            </w:pPr>
            <w:r>
              <w:rPr>
                <w:rFonts w:ascii="Times New Roman" w:cs="Times New Roman" w:eastAsia="Times New Roman" w:hAnsi="Times New Roman"/>
                <w:sz w:val="18"/>
                <w:szCs w:val="18"/>
                <w:color w:val="auto"/>
              </w:rPr>
              <w:t>Operating lease liabilities – non-current</w:t>
            </w:r>
          </w:p>
        </w:tc>
        <w:tc>
          <w:tcPr>
            <w:tcW w:w="134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593,749</w:t>
            </w:r>
          </w:p>
        </w:tc>
        <w:tc>
          <w:tcPr>
            <w:tcW w:w="122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989,656</w:t>
            </w:r>
          </w:p>
        </w:tc>
      </w:tr>
      <w:tr>
        <w:trPr>
          <w:trHeight w:val="250"/>
        </w:trPr>
        <w:tc>
          <w:tcPr>
            <w:tcW w:w="868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Operating lease liabilities – non-current – related parties</w:t>
            </w:r>
          </w:p>
        </w:tc>
        <w:tc>
          <w:tcPr>
            <w:tcW w:w="13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21,617</w:t>
            </w:r>
          </w:p>
        </w:tc>
        <w:tc>
          <w:tcPr>
            <w:tcW w:w="122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w:t>
            </w:r>
          </w:p>
        </w:tc>
      </w:tr>
      <w:tr>
        <w:trPr>
          <w:trHeight w:val="210"/>
        </w:trPr>
        <w:tc>
          <w:tcPr>
            <w:tcW w:w="8680" w:type="dxa"/>
            <w:vAlign w:val="bottom"/>
            <w:tcBorders>
              <w:top w:val="single" w:sz="8" w:color="CCEEFF"/>
              <w:bottom w:val="single" w:sz="8" w:color="CCEEFF"/>
            </w:tcBorders>
          </w:tcPr>
          <w:p>
            <w:pPr>
              <w:spacing w:after="0" w:line="203" w:lineRule="exact"/>
              <w:rPr>
                <w:sz w:val="20"/>
                <w:szCs w:val="20"/>
                <w:color w:val="auto"/>
              </w:rPr>
            </w:pPr>
            <w:r>
              <w:rPr>
                <w:rFonts w:ascii="Times New Roman" w:cs="Times New Roman" w:eastAsia="Times New Roman" w:hAnsi="Times New Roman"/>
                <w:sz w:val="18"/>
                <w:szCs w:val="18"/>
                <w:b w:val="1"/>
                <w:bCs w:val="1"/>
                <w:color w:val="auto"/>
              </w:rPr>
              <w:t>Total non-current liabilities</w:t>
            </w:r>
          </w:p>
        </w:tc>
        <w:tc>
          <w:tcPr>
            <w:tcW w:w="1120" w:type="dxa"/>
            <w:vAlign w:val="bottom"/>
            <w:tcBorders>
              <w:top w:val="single" w:sz="8" w:color="auto"/>
              <w:bottom w:val="single" w:sz="8" w:color="auto"/>
            </w:tcBorders>
          </w:tcPr>
          <w:p>
            <w:pPr>
              <w:jc w:val="right"/>
              <w:spacing w:after="0" w:line="203" w:lineRule="exact"/>
              <w:rPr>
                <w:sz w:val="20"/>
                <w:szCs w:val="20"/>
                <w:color w:val="auto"/>
              </w:rPr>
            </w:pPr>
            <w:r>
              <w:rPr>
                <w:rFonts w:ascii="Times New Roman" w:cs="Times New Roman" w:eastAsia="Times New Roman" w:hAnsi="Times New Roman"/>
                <w:sz w:val="18"/>
                <w:szCs w:val="18"/>
                <w:color w:val="auto"/>
              </w:rPr>
              <w:t>1,322,177</w:t>
            </w:r>
          </w:p>
        </w:tc>
        <w:tc>
          <w:tcPr>
            <w:tcW w:w="220" w:type="dxa"/>
            <w:vAlign w:val="bottom"/>
            <w:tcBorders>
              <w:top w:val="single" w:sz="8" w:color="CCEEFF"/>
              <w:bottom w:val="single" w:sz="8" w:color="CCEEFF"/>
            </w:tcBorders>
          </w:tcPr>
          <w:p>
            <w:pPr>
              <w:spacing w:after="0"/>
              <w:rPr>
                <w:sz w:val="18"/>
                <w:szCs w:val="18"/>
                <w:color w:val="auto"/>
              </w:rPr>
            </w:pPr>
          </w:p>
        </w:tc>
        <w:tc>
          <w:tcPr>
            <w:tcW w:w="1120" w:type="dxa"/>
            <w:vAlign w:val="bottom"/>
            <w:tcBorders>
              <w:top w:val="single" w:sz="8" w:color="auto"/>
              <w:bottom w:val="single" w:sz="8" w:color="auto"/>
            </w:tcBorders>
          </w:tcPr>
          <w:p>
            <w:pPr>
              <w:jc w:val="right"/>
              <w:spacing w:after="0" w:line="203" w:lineRule="exact"/>
              <w:rPr>
                <w:sz w:val="20"/>
                <w:szCs w:val="20"/>
                <w:color w:val="auto"/>
              </w:rPr>
            </w:pPr>
            <w:r>
              <w:rPr>
                <w:rFonts w:ascii="Times New Roman" w:cs="Times New Roman" w:eastAsia="Times New Roman" w:hAnsi="Times New Roman"/>
                <w:sz w:val="18"/>
                <w:szCs w:val="18"/>
                <w:color w:val="auto"/>
              </w:rPr>
              <w:t>1,335,515</w:t>
            </w:r>
          </w:p>
        </w:tc>
        <w:tc>
          <w:tcPr>
            <w:tcW w:w="100" w:type="dxa"/>
            <w:vAlign w:val="bottom"/>
            <w:tcBorders>
              <w:top w:val="single" w:sz="8" w:color="CCEEFF"/>
              <w:bottom w:val="single" w:sz="8" w:color="CCEEFF"/>
            </w:tcBorders>
          </w:tcPr>
          <w:p>
            <w:pPr>
              <w:spacing w:after="0"/>
              <w:rPr>
                <w:sz w:val="18"/>
                <w:szCs w:val="18"/>
                <w:color w:val="auto"/>
              </w:rPr>
            </w:pPr>
          </w:p>
        </w:tc>
      </w:tr>
      <w:tr>
        <w:trPr>
          <w:trHeight w:val="223"/>
        </w:trPr>
        <w:tc>
          <w:tcPr>
            <w:tcW w:w="8680" w:type="dxa"/>
            <w:vAlign w:val="bottom"/>
            <w:tcBorders>
              <w:bottom w:val="single" w:sz="8" w:color="CCEEFF"/>
            </w:tcBorders>
            <w:shd w:val="clear" w:color="auto" w:fill="CCEEFF"/>
          </w:tcPr>
          <w:p>
            <w:pPr>
              <w:spacing w:after="0"/>
              <w:rPr>
                <w:sz w:val="20"/>
                <w:szCs w:val="20"/>
                <w:color w:val="auto"/>
              </w:rPr>
            </w:pPr>
            <w:r>
              <w:rPr>
                <w:rFonts w:ascii="Times New Roman" w:cs="Times New Roman" w:eastAsia="Times New Roman" w:hAnsi="Times New Roman"/>
                <w:sz w:val="18"/>
                <w:szCs w:val="18"/>
                <w:b w:val="1"/>
                <w:bCs w:val="1"/>
                <w:color w:val="auto"/>
              </w:rPr>
              <w:t>TOTAL LIABILITIES</w:t>
            </w:r>
          </w:p>
        </w:tc>
        <w:tc>
          <w:tcPr>
            <w:tcW w:w="112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8,409,737</w:t>
            </w:r>
          </w:p>
        </w:tc>
        <w:tc>
          <w:tcPr>
            <w:tcW w:w="220" w:type="dxa"/>
            <w:vAlign w:val="bottom"/>
            <w:tcBorders>
              <w:bottom w:val="single" w:sz="8" w:color="CCEEFF"/>
            </w:tcBorders>
            <w:shd w:val="clear" w:color="auto" w:fill="CCEEFF"/>
          </w:tcPr>
          <w:p>
            <w:pPr>
              <w:spacing w:after="0"/>
              <w:rPr>
                <w:sz w:val="19"/>
                <w:szCs w:val="19"/>
                <w:color w:val="auto"/>
              </w:rPr>
            </w:pPr>
          </w:p>
        </w:tc>
        <w:tc>
          <w:tcPr>
            <w:tcW w:w="112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8,625,254</w:t>
            </w:r>
          </w:p>
        </w:tc>
        <w:tc>
          <w:tcPr>
            <w:tcW w:w="100" w:type="dxa"/>
            <w:vAlign w:val="bottom"/>
            <w:tcBorders>
              <w:bottom w:val="single" w:sz="8" w:color="CCEEFF"/>
            </w:tcBorders>
            <w:shd w:val="clear" w:color="auto" w:fill="CCEEFF"/>
          </w:tcPr>
          <w:p>
            <w:pPr>
              <w:spacing w:after="0"/>
              <w:rPr>
                <w:sz w:val="19"/>
                <w:szCs w:val="19"/>
                <w:color w:val="auto"/>
              </w:rPr>
            </w:pPr>
          </w:p>
        </w:tc>
      </w:tr>
      <w:tr>
        <w:trPr>
          <w:trHeight w:val="135"/>
        </w:trPr>
        <w:tc>
          <w:tcPr>
            <w:tcW w:w="8680" w:type="dxa"/>
            <w:vAlign w:val="bottom"/>
          </w:tcPr>
          <w:p>
            <w:pPr>
              <w:spacing w:after="0"/>
              <w:rPr>
                <w:sz w:val="11"/>
                <w:szCs w:val="11"/>
                <w:color w:val="auto"/>
              </w:rPr>
            </w:pPr>
          </w:p>
        </w:tc>
        <w:tc>
          <w:tcPr>
            <w:tcW w:w="11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120" w:type="dxa"/>
            <w:vAlign w:val="bottom"/>
          </w:tcPr>
          <w:p>
            <w:pPr>
              <w:spacing w:after="0"/>
              <w:rPr>
                <w:sz w:val="11"/>
                <w:szCs w:val="11"/>
                <w:color w:val="auto"/>
              </w:rPr>
            </w:pPr>
          </w:p>
        </w:tc>
        <w:tc>
          <w:tcPr>
            <w:tcW w:w="100" w:type="dxa"/>
            <w:vAlign w:val="bottom"/>
          </w:tcPr>
          <w:p>
            <w:pPr>
              <w:spacing w:after="0"/>
              <w:rPr>
                <w:sz w:val="11"/>
                <w:szCs w:val="11"/>
                <w:color w:val="auto"/>
              </w:rPr>
            </w:pPr>
          </w:p>
        </w:tc>
      </w:tr>
      <w:tr>
        <w:trPr>
          <w:trHeight w:val="216"/>
        </w:trPr>
        <w:tc>
          <w:tcPr>
            <w:tcW w:w="868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b w:val="1"/>
                <w:bCs w:val="1"/>
                <w:color w:val="auto"/>
              </w:rPr>
              <w:t>Shareholders’ equity</w:t>
            </w:r>
          </w:p>
        </w:tc>
        <w:tc>
          <w:tcPr>
            <w:tcW w:w="11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01"/>
        </w:trPr>
        <w:tc>
          <w:tcPr>
            <w:tcW w:w="8680" w:type="dxa"/>
            <w:vAlign w:val="bottom"/>
          </w:tcPr>
          <w:p>
            <w:pPr>
              <w:spacing w:after="0" w:line="201" w:lineRule="exact"/>
              <w:rPr>
                <w:sz w:val="20"/>
                <w:szCs w:val="20"/>
                <w:color w:val="auto"/>
              </w:rPr>
            </w:pPr>
            <w:r>
              <w:rPr>
                <w:rFonts w:ascii="Times New Roman" w:cs="Times New Roman" w:eastAsia="Times New Roman" w:hAnsi="Times New Roman"/>
                <w:sz w:val="18"/>
                <w:szCs w:val="18"/>
                <w:color w:val="auto"/>
              </w:rPr>
              <w:t>Class A ordinary shares (US$0.000375 par value each; 133,000,000 shares authorized; 1,652,701 shares issued and</w:t>
            </w:r>
          </w:p>
        </w:tc>
        <w:tc>
          <w:tcPr>
            <w:tcW w:w="11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71"/>
        </w:trPr>
        <w:tc>
          <w:tcPr>
            <w:tcW w:w="8680" w:type="dxa"/>
            <w:vAlign w:val="bottom"/>
          </w:tcPr>
          <w:p>
            <w:pPr>
              <w:ind w:left="180"/>
              <w:spacing w:after="0" w:line="271" w:lineRule="exact"/>
              <w:rPr>
                <w:sz w:val="20"/>
                <w:szCs w:val="20"/>
                <w:color w:val="auto"/>
              </w:rPr>
            </w:pPr>
            <w:r>
              <w:rPr>
                <w:rFonts w:ascii="Times New Roman" w:cs="Times New Roman" w:eastAsia="Times New Roman" w:hAnsi="Times New Roman"/>
                <w:sz w:val="18"/>
                <w:szCs w:val="18"/>
                <w:color w:val="auto"/>
              </w:rPr>
              <w:t xml:space="preserve">outstanding respectively) </w:t>
            </w:r>
            <w:r>
              <w:rPr>
                <w:rFonts w:ascii="Times New Roman" w:cs="Times New Roman" w:eastAsia="Times New Roman" w:hAnsi="Times New Roman"/>
                <w:sz w:val="29"/>
                <w:szCs w:val="29"/>
                <w:color w:val="auto"/>
                <w:vertAlign w:val="superscript"/>
              </w:rPr>
              <w:t>(1)</w:t>
            </w:r>
          </w:p>
        </w:tc>
        <w:tc>
          <w:tcPr>
            <w:tcW w:w="134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1,410</w:t>
            </w:r>
          </w:p>
        </w:tc>
        <w:tc>
          <w:tcPr>
            <w:tcW w:w="122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615</w:t>
            </w:r>
          </w:p>
        </w:tc>
      </w:tr>
      <w:tr>
        <w:trPr>
          <w:trHeight w:val="201"/>
        </w:trPr>
        <w:tc>
          <w:tcPr>
            <w:tcW w:w="8680" w:type="dxa"/>
            <w:vAlign w:val="bottom"/>
            <w:shd w:val="clear" w:color="auto" w:fill="CCEEFF"/>
          </w:tcPr>
          <w:p>
            <w:pPr>
              <w:spacing w:after="0" w:line="201" w:lineRule="exact"/>
              <w:rPr>
                <w:sz w:val="20"/>
                <w:szCs w:val="20"/>
                <w:color w:val="auto"/>
              </w:rPr>
            </w:pPr>
            <w:r>
              <w:rPr>
                <w:rFonts w:ascii="Times New Roman" w:cs="Times New Roman" w:eastAsia="Times New Roman" w:hAnsi="Times New Roman"/>
                <w:sz w:val="18"/>
                <w:szCs w:val="18"/>
                <w:color w:val="auto"/>
              </w:rPr>
              <w:t>Class B ordinary shares ($US$0.000375 par value per share, 3,000,000 shares authorized; 2,109,000 issued and</w:t>
            </w:r>
          </w:p>
        </w:tc>
        <w:tc>
          <w:tcPr>
            <w:tcW w:w="11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r>
      <w:tr>
        <w:trPr>
          <w:trHeight w:val="271"/>
        </w:trPr>
        <w:tc>
          <w:tcPr>
            <w:tcW w:w="8680" w:type="dxa"/>
            <w:vAlign w:val="bottom"/>
            <w:shd w:val="clear" w:color="auto" w:fill="CCEEFF"/>
          </w:tcPr>
          <w:p>
            <w:pPr>
              <w:ind w:left="180"/>
              <w:spacing w:after="0" w:line="271" w:lineRule="exact"/>
              <w:rPr>
                <w:sz w:val="20"/>
                <w:szCs w:val="20"/>
                <w:color w:val="auto"/>
              </w:rPr>
            </w:pPr>
            <w:r>
              <w:rPr>
                <w:rFonts w:ascii="Times New Roman" w:cs="Times New Roman" w:eastAsia="Times New Roman" w:hAnsi="Times New Roman"/>
                <w:sz w:val="18"/>
                <w:szCs w:val="18"/>
                <w:color w:val="auto"/>
              </w:rPr>
              <w:t xml:space="preserve">outstanding as of September 30, 2025) </w:t>
            </w:r>
            <w:r>
              <w:rPr>
                <w:rFonts w:ascii="Times New Roman" w:cs="Times New Roman" w:eastAsia="Times New Roman" w:hAnsi="Times New Roman"/>
                <w:sz w:val="29"/>
                <w:szCs w:val="29"/>
                <w:color w:val="auto"/>
                <w:vertAlign w:val="superscript"/>
              </w:rPr>
              <w:t>(1)</w:t>
            </w:r>
          </w:p>
        </w:tc>
        <w:tc>
          <w:tcPr>
            <w:tcW w:w="13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w:t>
            </w:r>
          </w:p>
        </w:tc>
        <w:tc>
          <w:tcPr>
            <w:tcW w:w="122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795</w:t>
            </w:r>
          </w:p>
        </w:tc>
      </w:tr>
      <w:tr>
        <w:trPr>
          <w:trHeight w:val="216"/>
        </w:trPr>
        <w:tc>
          <w:tcPr>
            <w:tcW w:w="8680" w:type="dxa"/>
            <w:vAlign w:val="bottom"/>
          </w:tcPr>
          <w:p>
            <w:pPr>
              <w:spacing w:after="0"/>
              <w:rPr>
                <w:sz w:val="20"/>
                <w:szCs w:val="20"/>
                <w:color w:val="auto"/>
              </w:rPr>
            </w:pPr>
            <w:r>
              <w:rPr>
                <w:rFonts w:ascii="Times New Roman" w:cs="Times New Roman" w:eastAsia="Times New Roman" w:hAnsi="Times New Roman"/>
                <w:sz w:val="18"/>
                <w:szCs w:val="18"/>
                <w:color w:val="auto"/>
              </w:rPr>
              <w:t>Additional Paid-in Capital</w:t>
            </w:r>
          </w:p>
        </w:tc>
        <w:tc>
          <w:tcPr>
            <w:tcW w:w="134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6,193,646</w:t>
            </w:r>
          </w:p>
        </w:tc>
        <w:tc>
          <w:tcPr>
            <w:tcW w:w="122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6,193,646</w:t>
            </w:r>
          </w:p>
        </w:tc>
      </w:tr>
      <w:tr>
        <w:trPr>
          <w:trHeight w:val="216"/>
        </w:trPr>
        <w:tc>
          <w:tcPr>
            <w:tcW w:w="868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Accumulated other comprehensive income/(loss)</w:t>
            </w:r>
          </w:p>
        </w:tc>
        <w:tc>
          <w:tcPr>
            <w:tcW w:w="1340" w:type="dxa"/>
            <w:vAlign w:val="bottom"/>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18"/>
                <w:szCs w:val="18"/>
                <w:color w:val="auto"/>
              </w:rPr>
              <w:t>(23,364)</w:t>
            </w:r>
          </w:p>
        </w:tc>
        <w:tc>
          <w:tcPr>
            <w:tcW w:w="1220" w:type="dxa"/>
            <w:vAlign w:val="bottom"/>
            <w:gridSpan w:val="2"/>
            <w:shd w:val="clear" w:color="auto" w:fill="CCEEFF"/>
          </w:tcPr>
          <w:p>
            <w:pPr>
              <w:jc w:val="right"/>
              <w:ind w:right="40"/>
              <w:spacing w:after="0"/>
              <w:rPr>
                <w:sz w:val="20"/>
                <w:szCs w:val="20"/>
                <w:color w:val="auto"/>
              </w:rPr>
            </w:pPr>
            <w:r>
              <w:rPr>
                <w:rFonts w:ascii="Times New Roman" w:cs="Times New Roman" w:eastAsia="Times New Roman" w:hAnsi="Times New Roman"/>
                <w:sz w:val="18"/>
                <w:szCs w:val="18"/>
                <w:color w:val="auto"/>
              </w:rPr>
              <w:t>(86,874)</w:t>
            </w:r>
          </w:p>
        </w:tc>
      </w:tr>
      <w:tr>
        <w:trPr>
          <w:trHeight w:val="216"/>
        </w:trPr>
        <w:tc>
          <w:tcPr>
            <w:tcW w:w="8680" w:type="dxa"/>
            <w:vAlign w:val="bottom"/>
          </w:tcPr>
          <w:p>
            <w:pPr>
              <w:spacing w:after="0"/>
              <w:rPr>
                <w:sz w:val="20"/>
                <w:szCs w:val="20"/>
                <w:color w:val="auto"/>
              </w:rPr>
            </w:pPr>
            <w:r>
              <w:rPr>
                <w:rFonts w:ascii="Times New Roman" w:cs="Times New Roman" w:eastAsia="Times New Roman" w:hAnsi="Times New Roman"/>
                <w:sz w:val="18"/>
                <w:szCs w:val="18"/>
                <w:color w:val="auto"/>
              </w:rPr>
              <w:t>Non-controlling interests</w:t>
            </w:r>
          </w:p>
        </w:tc>
        <w:tc>
          <w:tcPr>
            <w:tcW w:w="134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405,122</w:t>
            </w:r>
          </w:p>
        </w:tc>
        <w:tc>
          <w:tcPr>
            <w:tcW w:w="122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388,585</w:t>
            </w:r>
          </w:p>
        </w:tc>
      </w:tr>
      <w:tr>
        <w:trPr>
          <w:trHeight w:val="257"/>
        </w:trPr>
        <w:tc>
          <w:tcPr>
            <w:tcW w:w="8680" w:type="dxa"/>
            <w:vAlign w:val="bottom"/>
            <w:shd w:val="clear" w:color="auto" w:fill="CCEEFF"/>
          </w:tcPr>
          <w:p>
            <w:pPr>
              <w:spacing w:after="0" w:line="256" w:lineRule="exact"/>
              <w:rPr>
                <w:sz w:val="20"/>
                <w:szCs w:val="20"/>
                <w:color w:val="auto"/>
              </w:rPr>
            </w:pPr>
            <w:r>
              <w:rPr>
                <w:rFonts w:ascii="Times New Roman" w:cs="Times New Roman" w:eastAsia="Times New Roman" w:hAnsi="Times New Roman"/>
                <w:sz w:val="18"/>
                <w:szCs w:val="18"/>
                <w:color w:val="auto"/>
              </w:rPr>
              <w:t>Treasury stock</w:t>
            </w:r>
            <w:r>
              <w:rPr>
                <w:rFonts w:ascii="Times New Roman" w:cs="Times New Roman" w:eastAsia="Times New Roman" w:hAnsi="Times New Roman"/>
                <w:sz w:val="29"/>
                <w:szCs w:val="29"/>
                <w:color w:val="auto"/>
                <w:vertAlign w:val="superscript"/>
              </w:rPr>
              <w:t>(2)</w:t>
            </w:r>
          </w:p>
        </w:tc>
        <w:tc>
          <w:tcPr>
            <w:tcW w:w="13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w:t>
            </w:r>
          </w:p>
        </w:tc>
        <w:tc>
          <w:tcPr>
            <w:tcW w:w="1220" w:type="dxa"/>
            <w:vAlign w:val="bottom"/>
            <w:gridSpan w:val="2"/>
            <w:shd w:val="clear" w:color="auto" w:fill="CCEEFF"/>
          </w:tcPr>
          <w:p>
            <w:pPr>
              <w:jc w:val="right"/>
              <w:ind w:right="40"/>
              <w:spacing w:after="0"/>
              <w:rPr>
                <w:sz w:val="20"/>
                <w:szCs w:val="20"/>
                <w:color w:val="auto"/>
              </w:rPr>
            </w:pPr>
            <w:r>
              <w:rPr>
                <w:rFonts w:ascii="Times New Roman" w:cs="Times New Roman" w:eastAsia="Times New Roman" w:hAnsi="Times New Roman"/>
                <w:sz w:val="18"/>
                <w:szCs w:val="18"/>
                <w:color w:val="auto"/>
              </w:rPr>
              <w:t>(245,037)</w:t>
            </w:r>
          </w:p>
        </w:tc>
      </w:tr>
      <w:tr>
        <w:trPr>
          <w:trHeight w:val="236"/>
        </w:trPr>
        <w:tc>
          <w:tcPr>
            <w:tcW w:w="8680" w:type="dxa"/>
            <w:vAlign w:val="bottom"/>
          </w:tcPr>
          <w:p>
            <w:pPr>
              <w:spacing w:after="0"/>
              <w:rPr>
                <w:sz w:val="20"/>
                <w:szCs w:val="20"/>
                <w:color w:val="auto"/>
              </w:rPr>
            </w:pPr>
            <w:r>
              <w:rPr>
                <w:rFonts w:ascii="Times New Roman" w:cs="Times New Roman" w:eastAsia="Times New Roman" w:hAnsi="Times New Roman"/>
                <w:sz w:val="18"/>
                <w:szCs w:val="18"/>
                <w:color w:val="auto"/>
              </w:rPr>
              <w:t>Retained earnings</w:t>
            </w:r>
          </w:p>
        </w:tc>
        <w:tc>
          <w:tcPr>
            <w:tcW w:w="134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8,467,586</w:t>
            </w:r>
          </w:p>
        </w:tc>
        <w:tc>
          <w:tcPr>
            <w:tcW w:w="122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10,786,999</w:t>
            </w:r>
          </w:p>
        </w:tc>
      </w:tr>
      <w:tr>
        <w:trPr>
          <w:trHeight w:val="236"/>
        </w:trPr>
        <w:tc>
          <w:tcPr>
            <w:tcW w:w="8680" w:type="dxa"/>
            <w:vAlign w:val="bottom"/>
            <w:tcBorders>
              <w:top w:val="single" w:sz="8" w:color="CCEEFF"/>
              <w:bottom w:val="single" w:sz="8" w:color="CCEEFF"/>
            </w:tcBorders>
            <w:shd w:val="clear" w:color="auto" w:fill="CCEEFF"/>
          </w:tcPr>
          <w:p>
            <w:pPr>
              <w:spacing w:after="0"/>
              <w:rPr>
                <w:sz w:val="20"/>
                <w:szCs w:val="20"/>
                <w:color w:val="auto"/>
              </w:rPr>
            </w:pPr>
            <w:r>
              <w:rPr>
                <w:rFonts w:ascii="Times New Roman" w:cs="Times New Roman" w:eastAsia="Times New Roman" w:hAnsi="Times New Roman"/>
                <w:sz w:val="18"/>
                <w:szCs w:val="18"/>
                <w:b w:val="1"/>
                <w:bCs w:val="1"/>
                <w:color w:val="auto"/>
              </w:rPr>
              <w:t>Total shareholders’ equity</w:t>
            </w: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15,044,400</w:t>
            </w:r>
          </w:p>
        </w:tc>
        <w:tc>
          <w:tcPr>
            <w:tcW w:w="220" w:type="dxa"/>
            <w:vAlign w:val="bottom"/>
            <w:tcBorders>
              <w:top w:val="single" w:sz="8" w:color="CCEEFF"/>
              <w:bottom w:val="single" w:sz="8" w:color="CCEEFF"/>
            </w:tcBorders>
            <w:shd w:val="clear" w:color="auto" w:fill="CCEEFF"/>
          </w:tcPr>
          <w:p>
            <w:pPr>
              <w:spacing w:after="0"/>
              <w:rPr>
                <w:sz w:val="20"/>
                <w:szCs w:val="20"/>
                <w:color w:val="auto"/>
              </w:rPr>
            </w:pP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17,038,729</w:t>
            </w:r>
          </w:p>
        </w:tc>
        <w:tc>
          <w:tcPr>
            <w:tcW w:w="100" w:type="dxa"/>
            <w:vAlign w:val="bottom"/>
            <w:tcBorders>
              <w:top w:val="single" w:sz="8" w:color="CCEEFF"/>
              <w:bottom w:val="single" w:sz="8" w:color="CCEEFF"/>
            </w:tcBorders>
            <w:shd w:val="clear" w:color="auto" w:fill="CCEEFF"/>
          </w:tcPr>
          <w:p>
            <w:pPr>
              <w:spacing w:after="0"/>
              <w:rPr>
                <w:sz w:val="20"/>
                <w:szCs w:val="20"/>
                <w:color w:val="auto"/>
              </w:rPr>
            </w:pPr>
          </w:p>
        </w:tc>
      </w:tr>
      <w:tr>
        <w:trPr>
          <w:trHeight w:val="221"/>
        </w:trPr>
        <w:tc>
          <w:tcPr>
            <w:tcW w:w="8680" w:type="dxa"/>
            <w:vAlign w:val="bottom"/>
          </w:tcPr>
          <w:p>
            <w:pPr>
              <w:spacing w:after="0"/>
              <w:rPr>
                <w:sz w:val="20"/>
                <w:szCs w:val="20"/>
                <w:color w:val="auto"/>
              </w:rPr>
            </w:pPr>
            <w:r>
              <w:rPr>
                <w:rFonts w:ascii="Times New Roman" w:cs="Times New Roman" w:eastAsia="Times New Roman" w:hAnsi="Times New Roman"/>
                <w:sz w:val="18"/>
                <w:szCs w:val="18"/>
                <w:b w:val="1"/>
                <w:bCs w:val="1"/>
                <w:color w:val="auto"/>
              </w:rPr>
              <w:t>TOTAL LIABILITIES AND SHAREHOLDERS’ EQUITY</w:t>
            </w:r>
          </w:p>
        </w:tc>
        <w:tc>
          <w:tcPr>
            <w:tcW w:w="112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23,454,137</w:t>
            </w:r>
          </w:p>
        </w:tc>
        <w:tc>
          <w:tcPr>
            <w:tcW w:w="220" w:type="dxa"/>
            <w:vAlign w:val="bottom"/>
          </w:tcPr>
          <w:p>
            <w:pPr>
              <w:spacing w:after="0"/>
              <w:rPr>
                <w:sz w:val="19"/>
                <w:szCs w:val="19"/>
                <w:color w:val="auto"/>
              </w:rPr>
            </w:pPr>
          </w:p>
        </w:tc>
        <w:tc>
          <w:tcPr>
            <w:tcW w:w="112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25,663,983</w:t>
            </w:r>
          </w:p>
        </w:tc>
        <w:tc>
          <w:tcPr>
            <w:tcW w:w="100" w:type="dxa"/>
            <w:vAlign w:val="bottom"/>
          </w:tcPr>
          <w:p>
            <w:pPr>
              <w:spacing w:after="0"/>
              <w:rPr>
                <w:sz w:val="19"/>
                <w:szCs w:val="19"/>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5508625</wp:posOffset>
            </wp:positionH>
            <wp:positionV relativeFrom="paragraph">
              <wp:posOffset>-10795</wp:posOffset>
            </wp:positionV>
            <wp:extent cx="1560195" cy="1714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1560195" cy="17145"/>
                    </a:xfrm>
                    <a:prstGeom prst="rect">
                      <a:avLst/>
                    </a:prstGeom>
                    <a:noFill/>
                  </pic:spPr>
                </pic:pic>
              </a:graphicData>
            </a:graphic>
          </wp:anchor>
        </w:drawing>
      </w:r>
    </w:p>
    <w:p>
      <w:pPr>
        <w:spacing w:after="0"/>
        <w:rPr>
          <w:sz w:val="20"/>
          <w:szCs w:val="20"/>
          <w:color w:val="auto"/>
        </w:rPr>
      </w:pPr>
      <w:r>
        <w:rPr>
          <w:rFonts w:ascii="Times New Roman" w:cs="Times New Roman" w:eastAsia="Times New Roman" w:hAnsi="Times New Roman"/>
          <w:sz w:val="11"/>
          <w:szCs w:val="11"/>
          <w:color w:val="auto"/>
        </w:rPr>
        <w:t> </w:t>
      </w:r>
    </w:p>
    <w:p>
      <w:pPr>
        <w:spacing w:after="0" w:line="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(1) Retroactively adjusted for the effects of the Share Re-designation and Re-classification:</w:t>
      </w:r>
    </w:p>
    <w:p>
      <w:pPr>
        <w:spacing w:after="0" w:line="111"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On August 7, 2025, the Company implemented the re-designation and re-classification of its issued and unissued ordinary shares of par value US$0.000375 each in the share capital of the Company into Class A ordinary shares (1 vote per share) and Class B ordinary shares (20 votes per share), effective the same day. As a result, the 136,000,000 ordinary shares in the share capital of the Company were re-designated into 133,000,000 Class A ordinary shares and 3,000,000 Class B ordinary shares, and all the then issued 3,761,701 ordinary shares were concurrently re-designated and re-classified on a one-for-one basis into 1,652,701 Class A ordinary shares and 2,109,000 Class B ordinary shares.</w:t>
      </w:r>
    </w:p>
    <w:p>
      <w:pPr>
        <w:spacing w:after="0" w:line="8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(2) Share Repurchase Program:</w:t>
      </w:r>
    </w:p>
    <w:p>
      <w:pPr>
        <w:spacing w:after="0" w:line="135"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On September 15, 2025, the board of directors of the Company approved a share repurchase program authorizing the repurchase of up to US$5,000,000 of the Company’s Class A ordinary shares in the open market over the next six months. The Company has commenced repurchases under the program.</w:t>
      </w:r>
    </w:p>
    <w:p>
      <w:pPr>
        <w:spacing w:after="0" w:line="297"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color w:val="auto"/>
        </w:rPr>
        <w:t>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1714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ectPr>
          <w:pgSz w:w="11900" w:h="16838" w:orient="portrait"/>
          <w:cols w:equalWidth="0" w:num="1">
            <w:col w:w="11240"/>
          </w:cols>
          <w:pgMar w:left="320" w:top="252" w:right="339" w:bottom="164" w:gutter="0" w:footer="0" w:header="0"/>
        </w:sectPr>
      </w:pPr>
    </w:p>
    <w:bookmarkStart w:id="3" w:name="page4"/>
    <w:bookmarkEnd w:id="3"/>
    <w:p>
      <w:pPr>
        <w:jc w:val="center"/>
        <w:ind w:right="40"/>
        <w:spacing w:after="0"/>
        <w:rPr>
          <w:sz w:val="20"/>
          <w:szCs w:val="20"/>
          <w:color w:val="auto"/>
        </w:rPr>
      </w:pPr>
      <w:r>
        <w:rPr>
          <w:rFonts w:ascii="Times New Roman" w:cs="Times New Roman" w:eastAsia="Times New Roman" w:hAnsi="Times New Roman"/>
          <w:sz w:val="18"/>
          <w:szCs w:val="18"/>
          <w:b w:val="1"/>
          <w:bCs w:val="1"/>
          <w:color w:val="auto"/>
        </w:rPr>
        <w:t>J-LONG GROUP LIMITED</w:t>
      </w:r>
    </w:p>
    <w:p>
      <w:pPr>
        <w:spacing w:after="0" w:line="31"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UNAUDITED CONSOLIDATED STATEMENTS OF OPERATIONS</w:t>
      </w:r>
    </w:p>
    <w:p>
      <w:pPr>
        <w:spacing w:after="0" w:line="9"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AND COMPREHENSIVE INCOME</w:t>
      </w:r>
    </w:p>
    <w:p>
      <w:pPr>
        <w:spacing w:after="0" w:line="203" w:lineRule="exact"/>
        <w:rPr>
          <w:sz w:val="20"/>
          <w:szCs w:val="20"/>
          <w:color w:val="auto"/>
        </w:rPr>
      </w:pPr>
    </w:p>
    <w:p>
      <w:pPr>
        <w:jc w:val="center"/>
        <w:ind w:left="8540"/>
        <w:spacing w:after="0"/>
        <w:rPr>
          <w:sz w:val="20"/>
          <w:szCs w:val="20"/>
          <w:color w:val="auto"/>
        </w:rPr>
      </w:pPr>
      <w:r>
        <w:rPr>
          <w:rFonts w:ascii="Times New Roman" w:cs="Times New Roman" w:eastAsia="Times New Roman" w:hAnsi="Times New Roman"/>
          <w:sz w:val="18"/>
          <w:szCs w:val="18"/>
          <w:b w:val="1"/>
          <w:bCs w:val="1"/>
          <w:color w:val="auto"/>
        </w:rPr>
        <w:t>For the six months ended</w:t>
      </w:r>
    </w:p>
    <w:p>
      <w:pPr>
        <w:spacing w:after="0" w:line="31" w:lineRule="exact"/>
        <w:rPr>
          <w:sz w:val="20"/>
          <w:szCs w:val="20"/>
          <w:color w:val="auto"/>
        </w:rPr>
      </w:pPr>
    </w:p>
    <w:p>
      <w:pPr>
        <w:jc w:val="center"/>
        <w:ind w:left="8540"/>
        <w:spacing w:after="0"/>
        <w:rPr>
          <w:sz w:val="20"/>
          <w:szCs w:val="20"/>
          <w:color w:val="auto"/>
        </w:rPr>
      </w:pPr>
      <w:r>
        <w:rPr>
          <w:rFonts w:ascii="Times New Roman" w:cs="Times New Roman" w:eastAsia="Times New Roman" w:hAnsi="Times New Roman"/>
          <w:sz w:val="18"/>
          <w:szCs w:val="18"/>
          <w:b w:val="1"/>
          <w:bCs w:val="1"/>
          <w:color w:val="auto"/>
        </w:rPr>
        <w:t>September 30,</w:t>
      </w:r>
    </w:p>
    <w:p>
      <w:pPr>
        <w:spacing w:after="0" w:line="9" w:lineRule="exact"/>
        <w:rPr>
          <w:sz w:val="20"/>
          <w:szCs w:val="20"/>
          <w:color w:val="auto"/>
        </w:rPr>
      </w:pPr>
    </w:p>
    <w:tbl>
      <w:tblPr>
        <w:tblLayout w:type="fixed"/>
        <w:tblInd w:w="0" w:type="dxa"/>
        <w:tblCellMar>
          <w:top w:w="0" w:type="dxa"/>
          <w:left w:w="0" w:type="dxa"/>
          <w:bottom w:w="0" w:type="dxa"/>
          <w:right w:w="0" w:type="dxa"/>
        </w:tblCellMar>
      </w:tblPr>
      <w:tr>
        <w:trPr>
          <w:trHeight w:val="243"/>
        </w:trPr>
        <w:tc>
          <w:tcPr>
            <w:tcW w:w="8680" w:type="dxa"/>
            <w:vAlign w:val="bottom"/>
          </w:tcPr>
          <w:p>
            <w:pPr>
              <w:spacing w:after="0"/>
              <w:rPr>
                <w:sz w:val="21"/>
                <w:szCs w:val="21"/>
                <w:color w:val="auto"/>
              </w:rPr>
            </w:pPr>
          </w:p>
        </w:tc>
        <w:tc>
          <w:tcPr>
            <w:tcW w:w="1120" w:type="dxa"/>
            <w:vAlign w:val="bottom"/>
            <w:tcBorders>
              <w:top w:val="single" w:sz="8" w:color="auto"/>
              <w:bottom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2024</w:t>
            </w:r>
          </w:p>
        </w:tc>
        <w:tc>
          <w:tcPr>
            <w:tcW w:w="220" w:type="dxa"/>
            <w:vAlign w:val="bottom"/>
            <w:tcBorders>
              <w:top w:val="single" w:sz="8" w:color="auto"/>
            </w:tcBorders>
          </w:tcPr>
          <w:p>
            <w:pPr>
              <w:spacing w:after="0"/>
              <w:rPr>
                <w:sz w:val="21"/>
                <w:szCs w:val="21"/>
                <w:color w:val="auto"/>
              </w:rPr>
            </w:pPr>
          </w:p>
        </w:tc>
        <w:tc>
          <w:tcPr>
            <w:tcW w:w="1120" w:type="dxa"/>
            <w:vAlign w:val="bottom"/>
            <w:tcBorders>
              <w:top w:val="single" w:sz="8" w:color="auto"/>
              <w:bottom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2025</w:t>
            </w:r>
          </w:p>
        </w:tc>
        <w:tc>
          <w:tcPr>
            <w:tcW w:w="100" w:type="dxa"/>
            <w:vAlign w:val="bottom"/>
          </w:tcPr>
          <w:p>
            <w:pPr>
              <w:spacing w:after="0"/>
              <w:rPr>
                <w:sz w:val="21"/>
                <w:szCs w:val="21"/>
                <w:color w:val="auto"/>
              </w:rPr>
            </w:pPr>
          </w:p>
        </w:tc>
      </w:tr>
      <w:tr>
        <w:trPr>
          <w:trHeight w:val="223"/>
        </w:trPr>
        <w:tc>
          <w:tcPr>
            <w:tcW w:w="8680" w:type="dxa"/>
            <w:vAlign w:val="bottom"/>
          </w:tcPr>
          <w:p>
            <w:pPr>
              <w:spacing w:after="0"/>
              <w:rPr>
                <w:sz w:val="19"/>
                <w:szCs w:val="19"/>
                <w:color w:val="auto"/>
              </w:rPr>
            </w:pPr>
          </w:p>
        </w:tc>
        <w:tc>
          <w:tcPr>
            <w:tcW w:w="112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USD</w:t>
            </w:r>
          </w:p>
        </w:tc>
        <w:tc>
          <w:tcPr>
            <w:tcW w:w="220" w:type="dxa"/>
            <w:vAlign w:val="bottom"/>
          </w:tcPr>
          <w:p>
            <w:pPr>
              <w:spacing w:after="0"/>
              <w:rPr>
                <w:sz w:val="19"/>
                <w:szCs w:val="19"/>
                <w:color w:val="auto"/>
              </w:rPr>
            </w:pPr>
          </w:p>
        </w:tc>
        <w:tc>
          <w:tcPr>
            <w:tcW w:w="112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USD</w:t>
            </w:r>
          </w:p>
        </w:tc>
        <w:tc>
          <w:tcPr>
            <w:tcW w:w="100" w:type="dxa"/>
            <w:vAlign w:val="bottom"/>
          </w:tcPr>
          <w:p>
            <w:pPr>
              <w:spacing w:after="0"/>
              <w:rPr>
                <w:sz w:val="19"/>
                <w:szCs w:val="19"/>
                <w:color w:val="auto"/>
              </w:rPr>
            </w:pPr>
          </w:p>
        </w:tc>
      </w:tr>
      <w:tr>
        <w:trPr>
          <w:trHeight w:val="223"/>
        </w:trPr>
        <w:tc>
          <w:tcPr>
            <w:tcW w:w="8680" w:type="dxa"/>
            <w:vAlign w:val="bottom"/>
            <w:tcBorders>
              <w:bottom w:val="single" w:sz="8" w:color="CCEEFF"/>
            </w:tcBorders>
          </w:tcPr>
          <w:p>
            <w:pPr>
              <w:spacing w:after="0"/>
              <w:rPr>
                <w:sz w:val="19"/>
                <w:szCs w:val="19"/>
                <w:color w:val="auto"/>
              </w:rPr>
            </w:pPr>
          </w:p>
        </w:tc>
        <w:tc>
          <w:tcPr>
            <w:tcW w:w="112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8"/>
              </w:rPr>
              <w:t>(Unaudited)</w:t>
            </w:r>
          </w:p>
        </w:tc>
        <w:tc>
          <w:tcPr>
            <w:tcW w:w="220" w:type="dxa"/>
            <w:vAlign w:val="bottom"/>
            <w:tcBorders>
              <w:bottom w:val="single" w:sz="8" w:color="CCEEFF"/>
            </w:tcBorders>
          </w:tcPr>
          <w:p>
            <w:pPr>
              <w:spacing w:after="0"/>
              <w:rPr>
                <w:sz w:val="19"/>
                <w:szCs w:val="19"/>
                <w:color w:val="auto"/>
              </w:rPr>
            </w:pPr>
          </w:p>
        </w:tc>
        <w:tc>
          <w:tcPr>
            <w:tcW w:w="112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8"/>
              </w:rPr>
              <w:t>(Unaudited)</w:t>
            </w:r>
          </w:p>
        </w:tc>
        <w:tc>
          <w:tcPr>
            <w:tcW w:w="100" w:type="dxa"/>
            <w:vAlign w:val="bottom"/>
            <w:tcBorders>
              <w:bottom w:val="single" w:sz="8" w:color="CCEEFF"/>
            </w:tcBorders>
          </w:tcPr>
          <w:p>
            <w:pPr>
              <w:spacing w:after="0"/>
              <w:rPr>
                <w:sz w:val="19"/>
                <w:szCs w:val="19"/>
                <w:color w:val="auto"/>
              </w:rPr>
            </w:pPr>
          </w:p>
        </w:tc>
      </w:tr>
      <w:tr>
        <w:trPr>
          <w:trHeight w:val="216"/>
        </w:trPr>
        <w:tc>
          <w:tcPr>
            <w:tcW w:w="868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b w:val="1"/>
                <w:bCs w:val="1"/>
                <w:color w:val="auto"/>
              </w:rPr>
              <w:t>Revenues</w:t>
            </w:r>
          </w:p>
        </w:tc>
        <w:tc>
          <w:tcPr>
            <w:tcW w:w="11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19,024,229</w:t>
            </w:r>
          </w:p>
        </w:tc>
        <w:tc>
          <w:tcPr>
            <w:tcW w:w="220" w:type="dxa"/>
            <w:vAlign w:val="bottom"/>
            <w:shd w:val="clear" w:color="auto" w:fill="CCEEFF"/>
          </w:tcPr>
          <w:p>
            <w:pPr>
              <w:spacing w:after="0"/>
              <w:rPr>
                <w:sz w:val="18"/>
                <w:szCs w:val="18"/>
                <w:color w:val="auto"/>
              </w:rPr>
            </w:pPr>
          </w:p>
        </w:tc>
        <w:tc>
          <w:tcPr>
            <w:tcW w:w="11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22,699,837</w:t>
            </w:r>
          </w:p>
        </w:tc>
        <w:tc>
          <w:tcPr>
            <w:tcW w:w="100" w:type="dxa"/>
            <w:vAlign w:val="bottom"/>
            <w:shd w:val="clear" w:color="auto" w:fill="CCEEFF"/>
          </w:tcPr>
          <w:p>
            <w:pPr>
              <w:spacing w:after="0"/>
              <w:rPr>
                <w:sz w:val="18"/>
                <w:szCs w:val="18"/>
                <w:color w:val="auto"/>
              </w:rPr>
            </w:pPr>
          </w:p>
        </w:tc>
      </w:tr>
      <w:tr>
        <w:trPr>
          <w:trHeight w:val="237"/>
        </w:trPr>
        <w:tc>
          <w:tcPr>
            <w:tcW w:w="8680" w:type="dxa"/>
            <w:vAlign w:val="bottom"/>
          </w:tcPr>
          <w:p>
            <w:pPr>
              <w:spacing w:after="0"/>
              <w:rPr>
                <w:sz w:val="20"/>
                <w:szCs w:val="20"/>
                <w:color w:val="auto"/>
              </w:rPr>
            </w:pPr>
            <w:r>
              <w:rPr>
                <w:rFonts w:ascii="Times New Roman" w:cs="Times New Roman" w:eastAsia="Times New Roman" w:hAnsi="Times New Roman"/>
                <w:sz w:val="18"/>
                <w:szCs w:val="18"/>
                <w:color w:val="auto"/>
              </w:rPr>
              <w:t>Cost of sales</w:t>
            </w:r>
          </w:p>
        </w:tc>
        <w:tc>
          <w:tcPr>
            <w:tcW w:w="134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13,735,774</w:t>
            </w:r>
          </w:p>
        </w:tc>
        <w:tc>
          <w:tcPr>
            <w:tcW w:w="122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15,620,656</w:t>
            </w:r>
          </w:p>
        </w:tc>
      </w:tr>
      <w:tr>
        <w:trPr>
          <w:trHeight w:val="223"/>
        </w:trPr>
        <w:tc>
          <w:tcPr>
            <w:tcW w:w="8680" w:type="dxa"/>
            <w:vAlign w:val="bottom"/>
            <w:tcBorders>
              <w:top w:val="single" w:sz="8" w:color="CCEEFF"/>
              <w:bottom w:val="single" w:sz="8" w:color="CCEEFF"/>
            </w:tcBorders>
            <w:shd w:val="clear" w:color="auto" w:fill="CCEEFF"/>
          </w:tcPr>
          <w:p>
            <w:pPr>
              <w:spacing w:after="0"/>
              <w:rPr>
                <w:sz w:val="20"/>
                <w:szCs w:val="20"/>
                <w:color w:val="auto"/>
              </w:rPr>
            </w:pPr>
            <w:r>
              <w:rPr>
                <w:rFonts w:ascii="Times New Roman" w:cs="Times New Roman" w:eastAsia="Times New Roman" w:hAnsi="Times New Roman"/>
                <w:sz w:val="18"/>
                <w:szCs w:val="18"/>
                <w:color w:val="auto"/>
              </w:rPr>
              <w:t>Gross profit</w:t>
            </w: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5,288,455</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7,079,181</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16"/>
        </w:trPr>
        <w:tc>
          <w:tcPr>
            <w:tcW w:w="868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868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Operating expenses:</w:t>
            </w:r>
          </w:p>
        </w:tc>
        <w:tc>
          <w:tcPr>
            <w:tcW w:w="11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6"/>
        </w:trPr>
        <w:tc>
          <w:tcPr>
            <w:tcW w:w="8680" w:type="dxa"/>
            <w:vAlign w:val="bottom"/>
          </w:tcPr>
          <w:p>
            <w:pPr>
              <w:spacing w:after="0"/>
              <w:rPr>
                <w:sz w:val="20"/>
                <w:szCs w:val="20"/>
                <w:color w:val="auto"/>
              </w:rPr>
            </w:pPr>
            <w:r>
              <w:rPr>
                <w:rFonts w:ascii="Times New Roman" w:cs="Times New Roman" w:eastAsia="Times New Roman" w:hAnsi="Times New Roman"/>
                <w:sz w:val="18"/>
                <w:szCs w:val="18"/>
                <w:color w:val="auto"/>
              </w:rPr>
              <w:t>Selling and marketing expenses</w:t>
            </w:r>
          </w:p>
        </w:tc>
        <w:tc>
          <w:tcPr>
            <w:tcW w:w="134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916,174</w:t>
            </w:r>
          </w:p>
        </w:tc>
        <w:tc>
          <w:tcPr>
            <w:tcW w:w="122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1,978,757</w:t>
            </w:r>
          </w:p>
        </w:tc>
      </w:tr>
      <w:tr>
        <w:trPr>
          <w:trHeight w:val="249"/>
        </w:trPr>
        <w:tc>
          <w:tcPr>
            <w:tcW w:w="868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General and administrative expenses</w:t>
            </w:r>
          </w:p>
        </w:tc>
        <w:tc>
          <w:tcPr>
            <w:tcW w:w="13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1,981,326</w:t>
            </w:r>
          </w:p>
        </w:tc>
        <w:tc>
          <w:tcPr>
            <w:tcW w:w="122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2,641,384</w:t>
            </w:r>
          </w:p>
        </w:tc>
      </w:tr>
      <w:tr>
        <w:trPr>
          <w:trHeight w:val="210"/>
        </w:trPr>
        <w:tc>
          <w:tcPr>
            <w:tcW w:w="8680" w:type="dxa"/>
            <w:vAlign w:val="bottom"/>
            <w:tcBorders>
              <w:top w:val="single" w:sz="8" w:color="CCEEFF"/>
              <w:bottom w:val="single" w:sz="8" w:color="CCEEFF"/>
            </w:tcBorders>
          </w:tcPr>
          <w:p>
            <w:pPr>
              <w:spacing w:after="0" w:line="203" w:lineRule="exact"/>
              <w:rPr>
                <w:sz w:val="20"/>
                <w:szCs w:val="20"/>
                <w:color w:val="auto"/>
              </w:rPr>
            </w:pPr>
            <w:r>
              <w:rPr>
                <w:rFonts w:ascii="Times New Roman" w:cs="Times New Roman" w:eastAsia="Times New Roman" w:hAnsi="Times New Roman"/>
                <w:sz w:val="18"/>
                <w:szCs w:val="18"/>
                <w:color w:val="auto"/>
              </w:rPr>
              <w:t>Total operating expenses</w:t>
            </w:r>
          </w:p>
        </w:tc>
        <w:tc>
          <w:tcPr>
            <w:tcW w:w="1120" w:type="dxa"/>
            <w:vAlign w:val="bottom"/>
            <w:tcBorders>
              <w:top w:val="single" w:sz="8" w:color="auto"/>
              <w:bottom w:val="single" w:sz="8" w:color="auto"/>
            </w:tcBorders>
          </w:tcPr>
          <w:p>
            <w:pPr>
              <w:jc w:val="right"/>
              <w:spacing w:after="0" w:line="203" w:lineRule="exact"/>
              <w:rPr>
                <w:sz w:val="20"/>
                <w:szCs w:val="20"/>
                <w:color w:val="auto"/>
              </w:rPr>
            </w:pPr>
            <w:r>
              <w:rPr>
                <w:rFonts w:ascii="Times New Roman" w:cs="Times New Roman" w:eastAsia="Times New Roman" w:hAnsi="Times New Roman"/>
                <w:sz w:val="18"/>
                <w:szCs w:val="18"/>
                <w:color w:val="auto"/>
              </w:rPr>
              <w:t>2,897,500</w:t>
            </w:r>
          </w:p>
        </w:tc>
        <w:tc>
          <w:tcPr>
            <w:tcW w:w="220" w:type="dxa"/>
            <w:vAlign w:val="bottom"/>
            <w:tcBorders>
              <w:top w:val="single" w:sz="8" w:color="CCEEFF"/>
              <w:bottom w:val="single" w:sz="8" w:color="CCEEFF"/>
            </w:tcBorders>
          </w:tcPr>
          <w:p>
            <w:pPr>
              <w:spacing w:after="0"/>
              <w:rPr>
                <w:sz w:val="18"/>
                <w:szCs w:val="18"/>
                <w:color w:val="auto"/>
              </w:rPr>
            </w:pPr>
          </w:p>
        </w:tc>
        <w:tc>
          <w:tcPr>
            <w:tcW w:w="1120" w:type="dxa"/>
            <w:vAlign w:val="bottom"/>
            <w:tcBorders>
              <w:top w:val="single" w:sz="8" w:color="auto"/>
              <w:bottom w:val="single" w:sz="8" w:color="auto"/>
            </w:tcBorders>
          </w:tcPr>
          <w:p>
            <w:pPr>
              <w:jc w:val="right"/>
              <w:spacing w:after="0" w:line="203" w:lineRule="exact"/>
              <w:rPr>
                <w:sz w:val="20"/>
                <w:szCs w:val="20"/>
                <w:color w:val="auto"/>
              </w:rPr>
            </w:pPr>
            <w:r>
              <w:rPr>
                <w:rFonts w:ascii="Times New Roman" w:cs="Times New Roman" w:eastAsia="Times New Roman" w:hAnsi="Times New Roman"/>
                <w:sz w:val="18"/>
                <w:szCs w:val="18"/>
                <w:color w:val="auto"/>
              </w:rPr>
              <w:t>4,620,141</w:t>
            </w:r>
          </w:p>
        </w:tc>
        <w:tc>
          <w:tcPr>
            <w:tcW w:w="100" w:type="dxa"/>
            <w:vAlign w:val="bottom"/>
            <w:tcBorders>
              <w:top w:val="single" w:sz="8" w:color="CCEEFF"/>
              <w:bottom w:val="single" w:sz="8" w:color="CCEEFF"/>
            </w:tcBorders>
          </w:tcPr>
          <w:p>
            <w:pPr>
              <w:spacing w:after="0"/>
              <w:rPr>
                <w:sz w:val="18"/>
                <w:szCs w:val="18"/>
                <w:color w:val="auto"/>
              </w:rPr>
            </w:pPr>
          </w:p>
        </w:tc>
      </w:tr>
      <w:tr>
        <w:trPr>
          <w:trHeight w:val="216"/>
        </w:trPr>
        <w:tc>
          <w:tcPr>
            <w:tcW w:w="8680" w:type="dxa"/>
            <w:vAlign w:val="bottom"/>
            <w:shd w:val="clear" w:color="auto" w:fill="CCEEFF"/>
          </w:tcPr>
          <w:p>
            <w:pPr>
              <w:spacing w:after="0"/>
              <w:rPr>
                <w:sz w:val="18"/>
                <w:szCs w:val="18"/>
                <w:color w:val="auto"/>
              </w:rPr>
            </w:pPr>
          </w:p>
        </w:tc>
        <w:tc>
          <w:tcPr>
            <w:tcW w:w="11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36"/>
        </w:trPr>
        <w:tc>
          <w:tcPr>
            <w:tcW w:w="8680" w:type="dxa"/>
            <w:vAlign w:val="bottom"/>
          </w:tcPr>
          <w:p>
            <w:pPr>
              <w:spacing w:after="0"/>
              <w:rPr>
                <w:sz w:val="20"/>
                <w:szCs w:val="20"/>
                <w:color w:val="auto"/>
              </w:rPr>
            </w:pPr>
            <w:r>
              <w:rPr>
                <w:rFonts w:ascii="Times New Roman" w:cs="Times New Roman" w:eastAsia="Times New Roman" w:hAnsi="Times New Roman"/>
                <w:sz w:val="18"/>
                <w:szCs w:val="18"/>
                <w:color w:val="auto"/>
              </w:rPr>
              <w:t>Income from operations</w:t>
            </w:r>
          </w:p>
        </w:tc>
        <w:tc>
          <w:tcPr>
            <w:tcW w:w="134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2,390,955</w:t>
            </w:r>
          </w:p>
        </w:tc>
        <w:tc>
          <w:tcPr>
            <w:tcW w:w="122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2,459,040</w:t>
            </w:r>
          </w:p>
        </w:tc>
      </w:tr>
      <w:tr>
        <w:trPr>
          <w:trHeight w:val="216"/>
        </w:trPr>
        <w:tc>
          <w:tcPr>
            <w:tcW w:w="8680" w:type="dxa"/>
            <w:vAlign w:val="bottom"/>
            <w:tcBorders>
              <w:top w:val="single" w:sz="8" w:color="CCEEFF"/>
            </w:tcBorders>
            <w:shd w:val="clear" w:color="auto" w:fill="CCEEFF"/>
          </w:tcPr>
          <w:p>
            <w:pPr>
              <w:spacing w:after="0"/>
              <w:rPr>
                <w:sz w:val="18"/>
                <w:szCs w:val="18"/>
                <w:color w:val="auto"/>
              </w:rPr>
            </w:pPr>
          </w:p>
        </w:tc>
        <w:tc>
          <w:tcPr>
            <w:tcW w:w="112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12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r>
      <w:tr>
        <w:trPr>
          <w:trHeight w:val="216"/>
        </w:trPr>
        <w:tc>
          <w:tcPr>
            <w:tcW w:w="8680" w:type="dxa"/>
            <w:vAlign w:val="bottom"/>
          </w:tcPr>
          <w:p>
            <w:pPr>
              <w:spacing w:after="0"/>
              <w:rPr>
                <w:sz w:val="20"/>
                <w:szCs w:val="20"/>
                <w:color w:val="auto"/>
              </w:rPr>
            </w:pPr>
            <w:r>
              <w:rPr>
                <w:rFonts w:ascii="Times New Roman" w:cs="Times New Roman" w:eastAsia="Times New Roman" w:hAnsi="Times New Roman"/>
                <w:sz w:val="18"/>
                <w:szCs w:val="18"/>
                <w:color w:val="auto"/>
              </w:rPr>
              <w:t>Other income, net:</w:t>
            </w:r>
          </w:p>
        </w:tc>
        <w:tc>
          <w:tcPr>
            <w:tcW w:w="11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868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Other income</w:t>
            </w:r>
          </w:p>
        </w:tc>
        <w:tc>
          <w:tcPr>
            <w:tcW w:w="13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172,783</w:t>
            </w:r>
          </w:p>
        </w:tc>
        <w:tc>
          <w:tcPr>
            <w:tcW w:w="122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256,991</w:t>
            </w:r>
          </w:p>
        </w:tc>
      </w:tr>
      <w:tr>
        <w:trPr>
          <w:trHeight w:val="216"/>
        </w:trPr>
        <w:tc>
          <w:tcPr>
            <w:tcW w:w="8680" w:type="dxa"/>
            <w:vAlign w:val="bottom"/>
          </w:tcPr>
          <w:p>
            <w:pPr>
              <w:spacing w:after="0"/>
              <w:rPr>
                <w:sz w:val="20"/>
                <w:szCs w:val="20"/>
                <w:color w:val="auto"/>
              </w:rPr>
            </w:pPr>
            <w:r>
              <w:rPr>
                <w:rFonts w:ascii="Times New Roman" w:cs="Times New Roman" w:eastAsia="Times New Roman" w:hAnsi="Times New Roman"/>
                <w:sz w:val="18"/>
                <w:szCs w:val="18"/>
                <w:color w:val="auto"/>
              </w:rPr>
              <w:t>Currency exchange gain</w:t>
            </w:r>
          </w:p>
        </w:tc>
        <w:tc>
          <w:tcPr>
            <w:tcW w:w="134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273,999</w:t>
            </w:r>
          </w:p>
        </w:tc>
        <w:tc>
          <w:tcPr>
            <w:tcW w:w="122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298,708</w:t>
            </w:r>
          </w:p>
        </w:tc>
      </w:tr>
      <w:tr>
        <w:trPr>
          <w:trHeight w:val="249"/>
        </w:trPr>
        <w:tc>
          <w:tcPr>
            <w:tcW w:w="868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Interest expenses</w:t>
            </w:r>
          </w:p>
        </w:tc>
        <w:tc>
          <w:tcPr>
            <w:tcW w:w="1340" w:type="dxa"/>
            <w:vAlign w:val="bottom"/>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18"/>
                <w:szCs w:val="18"/>
                <w:color w:val="auto"/>
              </w:rPr>
              <w:t>(57,540)</w:t>
            </w:r>
          </w:p>
        </w:tc>
        <w:tc>
          <w:tcPr>
            <w:tcW w:w="1220" w:type="dxa"/>
            <w:vAlign w:val="bottom"/>
            <w:gridSpan w:val="2"/>
            <w:shd w:val="clear" w:color="auto" w:fill="CCEEFF"/>
          </w:tcPr>
          <w:p>
            <w:pPr>
              <w:jc w:val="right"/>
              <w:ind w:right="40"/>
              <w:spacing w:after="0"/>
              <w:rPr>
                <w:sz w:val="20"/>
                <w:szCs w:val="20"/>
                <w:color w:val="auto"/>
              </w:rPr>
            </w:pPr>
            <w:r>
              <w:rPr>
                <w:rFonts w:ascii="Times New Roman" w:cs="Times New Roman" w:eastAsia="Times New Roman" w:hAnsi="Times New Roman"/>
                <w:sz w:val="18"/>
                <w:szCs w:val="18"/>
                <w:color w:val="auto"/>
              </w:rPr>
              <w:t>(35,221)</w:t>
            </w:r>
          </w:p>
        </w:tc>
      </w:tr>
      <w:tr>
        <w:trPr>
          <w:trHeight w:val="210"/>
        </w:trPr>
        <w:tc>
          <w:tcPr>
            <w:tcW w:w="8680" w:type="dxa"/>
            <w:vAlign w:val="bottom"/>
            <w:tcBorders>
              <w:top w:val="single" w:sz="8" w:color="CCEEFF"/>
              <w:bottom w:val="single" w:sz="8" w:color="CCEEFF"/>
            </w:tcBorders>
          </w:tcPr>
          <w:p>
            <w:pPr>
              <w:spacing w:after="0" w:line="203" w:lineRule="exact"/>
              <w:rPr>
                <w:sz w:val="20"/>
                <w:szCs w:val="20"/>
                <w:color w:val="auto"/>
              </w:rPr>
            </w:pPr>
            <w:r>
              <w:rPr>
                <w:rFonts w:ascii="Times New Roman" w:cs="Times New Roman" w:eastAsia="Times New Roman" w:hAnsi="Times New Roman"/>
                <w:sz w:val="18"/>
                <w:szCs w:val="18"/>
                <w:color w:val="auto"/>
              </w:rPr>
              <w:t>Total other income, net</w:t>
            </w:r>
          </w:p>
        </w:tc>
        <w:tc>
          <w:tcPr>
            <w:tcW w:w="1120" w:type="dxa"/>
            <w:vAlign w:val="bottom"/>
            <w:tcBorders>
              <w:top w:val="single" w:sz="8" w:color="auto"/>
              <w:bottom w:val="single" w:sz="8" w:color="auto"/>
            </w:tcBorders>
          </w:tcPr>
          <w:p>
            <w:pPr>
              <w:jc w:val="right"/>
              <w:spacing w:after="0" w:line="203" w:lineRule="exact"/>
              <w:rPr>
                <w:sz w:val="20"/>
                <w:szCs w:val="20"/>
                <w:color w:val="auto"/>
              </w:rPr>
            </w:pPr>
            <w:r>
              <w:rPr>
                <w:rFonts w:ascii="Times New Roman" w:cs="Times New Roman" w:eastAsia="Times New Roman" w:hAnsi="Times New Roman"/>
                <w:sz w:val="18"/>
                <w:szCs w:val="18"/>
                <w:color w:val="auto"/>
              </w:rPr>
              <w:t>389,242</w:t>
            </w:r>
          </w:p>
        </w:tc>
        <w:tc>
          <w:tcPr>
            <w:tcW w:w="220" w:type="dxa"/>
            <w:vAlign w:val="bottom"/>
            <w:tcBorders>
              <w:top w:val="single" w:sz="8" w:color="CCEEFF"/>
              <w:bottom w:val="single" w:sz="8" w:color="CCEEFF"/>
            </w:tcBorders>
          </w:tcPr>
          <w:p>
            <w:pPr>
              <w:spacing w:after="0"/>
              <w:rPr>
                <w:sz w:val="18"/>
                <w:szCs w:val="18"/>
                <w:color w:val="auto"/>
              </w:rPr>
            </w:pPr>
          </w:p>
        </w:tc>
        <w:tc>
          <w:tcPr>
            <w:tcW w:w="1120" w:type="dxa"/>
            <w:vAlign w:val="bottom"/>
            <w:tcBorders>
              <w:top w:val="single" w:sz="8" w:color="auto"/>
              <w:bottom w:val="single" w:sz="8" w:color="auto"/>
            </w:tcBorders>
          </w:tcPr>
          <w:p>
            <w:pPr>
              <w:jc w:val="right"/>
              <w:spacing w:after="0" w:line="203" w:lineRule="exact"/>
              <w:rPr>
                <w:sz w:val="20"/>
                <w:szCs w:val="20"/>
                <w:color w:val="auto"/>
              </w:rPr>
            </w:pPr>
            <w:r>
              <w:rPr>
                <w:rFonts w:ascii="Times New Roman" w:cs="Times New Roman" w:eastAsia="Times New Roman" w:hAnsi="Times New Roman"/>
                <w:sz w:val="18"/>
                <w:szCs w:val="18"/>
                <w:color w:val="auto"/>
              </w:rPr>
              <w:t>520,478</w:t>
            </w:r>
          </w:p>
        </w:tc>
        <w:tc>
          <w:tcPr>
            <w:tcW w:w="100" w:type="dxa"/>
            <w:vAlign w:val="bottom"/>
            <w:tcBorders>
              <w:top w:val="single" w:sz="8" w:color="CCEEFF"/>
              <w:bottom w:val="single" w:sz="8" w:color="CCEEFF"/>
            </w:tcBorders>
          </w:tcPr>
          <w:p>
            <w:pPr>
              <w:spacing w:after="0"/>
              <w:rPr>
                <w:sz w:val="18"/>
                <w:szCs w:val="18"/>
                <w:color w:val="auto"/>
              </w:rPr>
            </w:pPr>
          </w:p>
        </w:tc>
      </w:tr>
      <w:tr>
        <w:trPr>
          <w:trHeight w:val="216"/>
        </w:trPr>
        <w:tc>
          <w:tcPr>
            <w:tcW w:w="8680" w:type="dxa"/>
            <w:vAlign w:val="bottom"/>
            <w:shd w:val="clear" w:color="auto" w:fill="CCEEFF"/>
          </w:tcPr>
          <w:p>
            <w:pPr>
              <w:spacing w:after="0"/>
              <w:rPr>
                <w:sz w:val="18"/>
                <w:szCs w:val="18"/>
                <w:color w:val="auto"/>
              </w:rPr>
            </w:pPr>
          </w:p>
        </w:tc>
        <w:tc>
          <w:tcPr>
            <w:tcW w:w="11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6"/>
        </w:trPr>
        <w:tc>
          <w:tcPr>
            <w:tcW w:w="8680" w:type="dxa"/>
            <w:vAlign w:val="bottom"/>
          </w:tcPr>
          <w:p>
            <w:pPr>
              <w:spacing w:after="0"/>
              <w:rPr>
                <w:sz w:val="20"/>
                <w:szCs w:val="20"/>
                <w:color w:val="auto"/>
              </w:rPr>
            </w:pPr>
            <w:r>
              <w:rPr>
                <w:rFonts w:ascii="Times New Roman" w:cs="Times New Roman" w:eastAsia="Times New Roman" w:hAnsi="Times New Roman"/>
                <w:sz w:val="18"/>
                <w:szCs w:val="18"/>
                <w:color w:val="auto"/>
              </w:rPr>
              <w:t>Income before tax expense</w:t>
            </w:r>
          </w:p>
        </w:tc>
        <w:tc>
          <w:tcPr>
            <w:tcW w:w="134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2,780,197</w:t>
            </w:r>
          </w:p>
        </w:tc>
        <w:tc>
          <w:tcPr>
            <w:tcW w:w="122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2,979,518</w:t>
            </w:r>
          </w:p>
        </w:tc>
      </w:tr>
      <w:tr>
        <w:trPr>
          <w:trHeight w:val="249"/>
        </w:trPr>
        <w:tc>
          <w:tcPr>
            <w:tcW w:w="868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Income tax expense</w:t>
            </w:r>
          </w:p>
        </w:tc>
        <w:tc>
          <w:tcPr>
            <w:tcW w:w="13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471,820</w:t>
            </w:r>
          </w:p>
        </w:tc>
        <w:tc>
          <w:tcPr>
            <w:tcW w:w="122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676,643</w:t>
            </w:r>
          </w:p>
        </w:tc>
      </w:tr>
      <w:tr>
        <w:trPr>
          <w:trHeight w:val="210"/>
        </w:trPr>
        <w:tc>
          <w:tcPr>
            <w:tcW w:w="8680" w:type="dxa"/>
            <w:vAlign w:val="bottom"/>
            <w:tcBorders>
              <w:top w:val="single" w:sz="8" w:color="CCEEFF"/>
              <w:bottom w:val="single" w:sz="8" w:color="CCEEFF"/>
            </w:tcBorders>
          </w:tcPr>
          <w:p>
            <w:pPr>
              <w:spacing w:after="0" w:line="203" w:lineRule="exact"/>
              <w:rPr>
                <w:sz w:val="20"/>
                <w:szCs w:val="20"/>
                <w:color w:val="auto"/>
              </w:rPr>
            </w:pPr>
            <w:r>
              <w:rPr>
                <w:rFonts w:ascii="Times New Roman" w:cs="Times New Roman" w:eastAsia="Times New Roman" w:hAnsi="Times New Roman"/>
                <w:sz w:val="18"/>
                <w:szCs w:val="18"/>
                <w:b w:val="1"/>
                <w:bCs w:val="1"/>
                <w:color w:val="auto"/>
              </w:rPr>
              <w:t>Net income attributable to ordinary shareholders</w:t>
            </w:r>
          </w:p>
        </w:tc>
        <w:tc>
          <w:tcPr>
            <w:tcW w:w="1120" w:type="dxa"/>
            <w:vAlign w:val="bottom"/>
            <w:tcBorders>
              <w:top w:val="single" w:sz="8" w:color="auto"/>
              <w:bottom w:val="single" w:sz="8" w:color="auto"/>
            </w:tcBorders>
          </w:tcPr>
          <w:p>
            <w:pPr>
              <w:jc w:val="right"/>
              <w:spacing w:after="0" w:line="203" w:lineRule="exact"/>
              <w:rPr>
                <w:sz w:val="20"/>
                <w:szCs w:val="20"/>
                <w:color w:val="auto"/>
              </w:rPr>
            </w:pPr>
            <w:r>
              <w:rPr>
                <w:rFonts w:ascii="Times New Roman" w:cs="Times New Roman" w:eastAsia="Times New Roman" w:hAnsi="Times New Roman"/>
                <w:sz w:val="18"/>
                <w:szCs w:val="18"/>
                <w:color w:val="auto"/>
              </w:rPr>
              <w:t>2,308,377</w:t>
            </w:r>
          </w:p>
        </w:tc>
        <w:tc>
          <w:tcPr>
            <w:tcW w:w="220" w:type="dxa"/>
            <w:vAlign w:val="bottom"/>
            <w:tcBorders>
              <w:top w:val="single" w:sz="8" w:color="CCEEFF"/>
              <w:bottom w:val="single" w:sz="8" w:color="CCEEFF"/>
            </w:tcBorders>
          </w:tcPr>
          <w:p>
            <w:pPr>
              <w:spacing w:after="0"/>
              <w:rPr>
                <w:sz w:val="18"/>
                <w:szCs w:val="18"/>
                <w:color w:val="auto"/>
              </w:rPr>
            </w:pPr>
          </w:p>
        </w:tc>
        <w:tc>
          <w:tcPr>
            <w:tcW w:w="1120" w:type="dxa"/>
            <w:vAlign w:val="bottom"/>
            <w:tcBorders>
              <w:top w:val="single" w:sz="8" w:color="auto"/>
              <w:bottom w:val="single" w:sz="8" w:color="auto"/>
            </w:tcBorders>
          </w:tcPr>
          <w:p>
            <w:pPr>
              <w:jc w:val="right"/>
              <w:spacing w:after="0" w:line="203" w:lineRule="exact"/>
              <w:rPr>
                <w:sz w:val="20"/>
                <w:szCs w:val="20"/>
                <w:color w:val="auto"/>
              </w:rPr>
            </w:pPr>
            <w:r>
              <w:rPr>
                <w:rFonts w:ascii="Times New Roman" w:cs="Times New Roman" w:eastAsia="Times New Roman" w:hAnsi="Times New Roman"/>
                <w:sz w:val="18"/>
                <w:szCs w:val="18"/>
                <w:color w:val="auto"/>
              </w:rPr>
              <w:t>2,302,875</w:t>
            </w:r>
          </w:p>
        </w:tc>
        <w:tc>
          <w:tcPr>
            <w:tcW w:w="100" w:type="dxa"/>
            <w:vAlign w:val="bottom"/>
            <w:tcBorders>
              <w:top w:val="single" w:sz="8" w:color="CCEEFF"/>
              <w:bottom w:val="single" w:sz="8" w:color="CCEEFF"/>
            </w:tcBorders>
          </w:tcPr>
          <w:p>
            <w:pPr>
              <w:spacing w:after="0"/>
              <w:rPr>
                <w:sz w:val="18"/>
                <w:szCs w:val="18"/>
                <w:color w:val="auto"/>
              </w:rPr>
            </w:pPr>
          </w:p>
        </w:tc>
      </w:tr>
      <w:tr>
        <w:trPr>
          <w:trHeight w:val="216"/>
        </w:trPr>
        <w:tc>
          <w:tcPr>
            <w:tcW w:w="8680" w:type="dxa"/>
            <w:vAlign w:val="bottom"/>
            <w:shd w:val="clear" w:color="auto" w:fill="CCEEFF"/>
          </w:tcPr>
          <w:p>
            <w:pPr>
              <w:spacing w:after="0"/>
              <w:rPr>
                <w:sz w:val="18"/>
                <w:szCs w:val="18"/>
                <w:color w:val="auto"/>
              </w:rPr>
            </w:pPr>
          </w:p>
        </w:tc>
        <w:tc>
          <w:tcPr>
            <w:tcW w:w="11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6"/>
        </w:trPr>
        <w:tc>
          <w:tcPr>
            <w:tcW w:w="8680" w:type="dxa"/>
            <w:vAlign w:val="bottom"/>
          </w:tcPr>
          <w:p>
            <w:pPr>
              <w:spacing w:after="0"/>
              <w:rPr>
                <w:sz w:val="20"/>
                <w:szCs w:val="20"/>
                <w:color w:val="auto"/>
              </w:rPr>
            </w:pPr>
            <w:r>
              <w:rPr>
                <w:rFonts w:ascii="Times New Roman" w:cs="Times New Roman" w:eastAsia="Times New Roman" w:hAnsi="Times New Roman"/>
                <w:sz w:val="18"/>
                <w:szCs w:val="18"/>
                <w:color w:val="auto"/>
              </w:rPr>
              <w:t>Net income (loss) attributable to non-controlling interest</w:t>
            </w:r>
          </w:p>
        </w:tc>
        <w:tc>
          <w:tcPr>
            <w:tcW w:w="134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w:t>
            </w:r>
          </w:p>
        </w:tc>
        <w:tc>
          <w:tcPr>
            <w:tcW w:w="1220" w:type="dxa"/>
            <w:vAlign w:val="bottom"/>
            <w:gridSpan w:val="2"/>
          </w:tcPr>
          <w:p>
            <w:pPr>
              <w:jc w:val="right"/>
              <w:ind w:right="40"/>
              <w:spacing w:after="0"/>
              <w:rPr>
                <w:sz w:val="20"/>
                <w:szCs w:val="20"/>
                <w:color w:val="auto"/>
              </w:rPr>
            </w:pPr>
            <w:r>
              <w:rPr>
                <w:rFonts w:ascii="Times New Roman" w:cs="Times New Roman" w:eastAsia="Times New Roman" w:hAnsi="Times New Roman"/>
                <w:sz w:val="18"/>
                <w:szCs w:val="18"/>
                <w:color w:val="auto"/>
              </w:rPr>
              <w:t>(16,538)</w:t>
            </w:r>
          </w:p>
        </w:tc>
      </w:tr>
      <w:tr>
        <w:trPr>
          <w:trHeight w:val="216"/>
        </w:trPr>
        <w:tc>
          <w:tcPr>
            <w:tcW w:w="8680" w:type="dxa"/>
            <w:vAlign w:val="bottom"/>
            <w:shd w:val="clear" w:color="auto" w:fill="CCEEFF"/>
          </w:tcPr>
          <w:p>
            <w:pPr>
              <w:spacing w:after="0"/>
              <w:rPr>
                <w:sz w:val="18"/>
                <w:szCs w:val="18"/>
                <w:color w:val="auto"/>
              </w:rPr>
            </w:pPr>
          </w:p>
        </w:tc>
        <w:tc>
          <w:tcPr>
            <w:tcW w:w="11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37"/>
        </w:trPr>
        <w:tc>
          <w:tcPr>
            <w:tcW w:w="8680" w:type="dxa"/>
            <w:vAlign w:val="bottom"/>
          </w:tcPr>
          <w:p>
            <w:pPr>
              <w:spacing w:after="0"/>
              <w:rPr>
                <w:sz w:val="20"/>
                <w:szCs w:val="20"/>
                <w:color w:val="auto"/>
              </w:rPr>
            </w:pPr>
            <w:r>
              <w:rPr>
                <w:rFonts w:ascii="Times New Roman" w:cs="Times New Roman" w:eastAsia="Times New Roman" w:hAnsi="Times New Roman"/>
                <w:sz w:val="18"/>
                <w:szCs w:val="18"/>
                <w:b w:val="1"/>
                <w:bCs w:val="1"/>
                <w:color w:val="auto"/>
              </w:rPr>
              <w:t>Net income attributable to J-LONG GROUP LIMITED</w:t>
            </w:r>
          </w:p>
        </w:tc>
        <w:tc>
          <w:tcPr>
            <w:tcW w:w="134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2,308,377</w:t>
            </w:r>
          </w:p>
        </w:tc>
        <w:tc>
          <w:tcPr>
            <w:tcW w:w="122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2,319,413</w:t>
            </w:r>
          </w:p>
        </w:tc>
      </w:tr>
      <w:tr>
        <w:trPr>
          <w:trHeight w:val="216"/>
        </w:trPr>
        <w:tc>
          <w:tcPr>
            <w:tcW w:w="8680" w:type="dxa"/>
            <w:vAlign w:val="bottom"/>
            <w:tcBorders>
              <w:top w:val="single" w:sz="8" w:color="CCEEFF"/>
            </w:tcBorders>
            <w:shd w:val="clear" w:color="auto" w:fill="CCEEFF"/>
          </w:tcPr>
          <w:p>
            <w:pPr>
              <w:spacing w:after="0"/>
              <w:rPr>
                <w:sz w:val="18"/>
                <w:szCs w:val="18"/>
                <w:color w:val="auto"/>
              </w:rPr>
            </w:pPr>
          </w:p>
        </w:tc>
        <w:tc>
          <w:tcPr>
            <w:tcW w:w="112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12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r>
      <w:tr>
        <w:trPr>
          <w:trHeight w:val="216"/>
        </w:trPr>
        <w:tc>
          <w:tcPr>
            <w:tcW w:w="8680" w:type="dxa"/>
            <w:vAlign w:val="bottom"/>
          </w:tcPr>
          <w:p>
            <w:pPr>
              <w:spacing w:after="0"/>
              <w:rPr>
                <w:sz w:val="20"/>
                <w:szCs w:val="20"/>
                <w:color w:val="auto"/>
              </w:rPr>
            </w:pPr>
            <w:r>
              <w:rPr>
                <w:rFonts w:ascii="Times New Roman" w:cs="Times New Roman" w:eastAsia="Times New Roman" w:hAnsi="Times New Roman"/>
                <w:sz w:val="18"/>
                <w:szCs w:val="18"/>
                <w:b w:val="1"/>
                <w:bCs w:val="1"/>
                <w:color w:val="auto"/>
              </w:rPr>
              <w:t>Other comprehensive income/(loss)</w:t>
            </w:r>
          </w:p>
        </w:tc>
        <w:tc>
          <w:tcPr>
            <w:tcW w:w="11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49"/>
        </w:trPr>
        <w:tc>
          <w:tcPr>
            <w:tcW w:w="868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Foreign currency translation adjustments</w:t>
            </w:r>
          </w:p>
        </w:tc>
        <w:tc>
          <w:tcPr>
            <w:tcW w:w="13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w:t>
            </w:r>
          </w:p>
        </w:tc>
        <w:tc>
          <w:tcPr>
            <w:tcW w:w="1220" w:type="dxa"/>
            <w:vAlign w:val="bottom"/>
            <w:gridSpan w:val="2"/>
            <w:shd w:val="clear" w:color="auto" w:fill="CCEEFF"/>
          </w:tcPr>
          <w:p>
            <w:pPr>
              <w:jc w:val="right"/>
              <w:ind w:right="40"/>
              <w:spacing w:after="0"/>
              <w:rPr>
                <w:sz w:val="20"/>
                <w:szCs w:val="20"/>
                <w:color w:val="auto"/>
              </w:rPr>
            </w:pPr>
            <w:r>
              <w:rPr>
                <w:rFonts w:ascii="Times New Roman" w:cs="Times New Roman" w:eastAsia="Times New Roman" w:hAnsi="Times New Roman"/>
                <w:sz w:val="18"/>
                <w:szCs w:val="18"/>
                <w:color w:val="auto"/>
              </w:rPr>
              <w:t>(36,176)</w:t>
            </w:r>
          </w:p>
        </w:tc>
      </w:tr>
      <w:tr>
        <w:trPr>
          <w:trHeight w:val="210"/>
        </w:trPr>
        <w:tc>
          <w:tcPr>
            <w:tcW w:w="8680" w:type="dxa"/>
            <w:vAlign w:val="bottom"/>
            <w:tcBorders>
              <w:top w:val="single" w:sz="8" w:color="CCEEFF"/>
              <w:bottom w:val="single" w:sz="8" w:color="CCEEFF"/>
            </w:tcBorders>
          </w:tcPr>
          <w:p>
            <w:pPr>
              <w:spacing w:after="0" w:line="203" w:lineRule="exact"/>
              <w:rPr>
                <w:sz w:val="20"/>
                <w:szCs w:val="20"/>
                <w:color w:val="auto"/>
              </w:rPr>
            </w:pPr>
            <w:r>
              <w:rPr>
                <w:rFonts w:ascii="Times New Roman" w:cs="Times New Roman" w:eastAsia="Times New Roman" w:hAnsi="Times New Roman"/>
                <w:sz w:val="18"/>
                <w:szCs w:val="18"/>
                <w:b w:val="1"/>
                <w:bCs w:val="1"/>
                <w:color w:val="auto"/>
              </w:rPr>
              <w:t>Total other comprehensive income</w:t>
            </w:r>
          </w:p>
        </w:tc>
        <w:tc>
          <w:tcPr>
            <w:tcW w:w="1120" w:type="dxa"/>
            <w:vAlign w:val="bottom"/>
            <w:tcBorders>
              <w:top w:val="single" w:sz="8" w:color="auto"/>
              <w:bottom w:val="single" w:sz="8" w:color="auto"/>
            </w:tcBorders>
          </w:tcPr>
          <w:p>
            <w:pPr>
              <w:jc w:val="right"/>
              <w:spacing w:after="0" w:line="203" w:lineRule="exact"/>
              <w:rPr>
                <w:sz w:val="20"/>
                <w:szCs w:val="20"/>
                <w:color w:val="auto"/>
              </w:rPr>
            </w:pPr>
            <w:r>
              <w:rPr>
                <w:rFonts w:ascii="Times New Roman" w:cs="Times New Roman" w:eastAsia="Times New Roman" w:hAnsi="Times New Roman"/>
                <w:sz w:val="18"/>
                <w:szCs w:val="18"/>
                <w:color w:val="auto"/>
              </w:rPr>
              <w:t>2,308,377</w:t>
            </w:r>
          </w:p>
        </w:tc>
        <w:tc>
          <w:tcPr>
            <w:tcW w:w="220" w:type="dxa"/>
            <w:vAlign w:val="bottom"/>
            <w:tcBorders>
              <w:top w:val="single" w:sz="8" w:color="CCEEFF"/>
              <w:bottom w:val="single" w:sz="8" w:color="CCEEFF"/>
            </w:tcBorders>
          </w:tcPr>
          <w:p>
            <w:pPr>
              <w:spacing w:after="0"/>
              <w:rPr>
                <w:sz w:val="18"/>
                <w:szCs w:val="18"/>
                <w:color w:val="auto"/>
              </w:rPr>
            </w:pPr>
          </w:p>
        </w:tc>
        <w:tc>
          <w:tcPr>
            <w:tcW w:w="1120" w:type="dxa"/>
            <w:vAlign w:val="bottom"/>
            <w:tcBorders>
              <w:top w:val="single" w:sz="8" w:color="auto"/>
              <w:bottom w:val="single" w:sz="8" w:color="auto"/>
            </w:tcBorders>
          </w:tcPr>
          <w:p>
            <w:pPr>
              <w:jc w:val="right"/>
              <w:spacing w:after="0" w:line="203" w:lineRule="exact"/>
              <w:rPr>
                <w:sz w:val="20"/>
                <w:szCs w:val="20"/>
                <w:color w:val="auto"/>
              </w:rPr>
            </w:pPr>
            <w:r>
              <w:rPr>
                <w:rFonts w:ascii="Times New Roman" w:cs="Times New Roman" w:eastAsia="Times New Roman" w:hAnsi="Times New Roman"/>
                <w:sz w:val="18"/>
                <w:szCs w:val="18"/>
                <w:color w:val="auto"/>
              </w:rPr>
              <w:t>2,283,237</w:t>
            </w:r>
          </w:p>
        </w:tc>
        <w:tc>
          <w:tcPr>
            <w:tcW w:w="100" w:type="dxa"/>
            <w:vAlign w:val="bottom"/>
            <w:tcBorders>
              <w:top w:val="single" w:sz="8" w:color="CCEEFF"/>
              <w:bottom w:val="single" w:sz="8" w:color="CCEEFF"/>
            </w:tcBorders>
          </w:tcPr>
          <w:p>
            <w:pPr>
              <w:spacing w:after="0"/>
              <w:rPr>
                <w:sz w:val="18"/>
                <w:szCs w:val="18"/>
                <w:color w:val="auto"/>
              </w:rPr>
            </w:pPr>
          </w:p>
        </w:tc>
      </w:tr>
      <w:tr>
        <w:trPr>
          <w:trHeight w:val="216"/>
        </w:trPr>
        <w:tc>
          <w:tcPr>
            <w:tcW w:w="8680" w:type="dxa"/>
            <w:vAlign w:val="bottom"/>
            <w:shd w:val="clear" w:color="auto" w:fill="CCEEFF"/>
          </w:tcPr>
          <w:p>
            <w:pPr>
              <w:spacing w:after="0"/>
              <w:rPr>
                <w:sz w:val="18"/>
                <w:szCs w:val="18"/>
                <w:color w:val="auto"/>
              </w:rPr>
            </w:pPr>
          </w:p>
        </w:tc>
        <w:tc>
          <w:tcPr>
            <w:tcW w:w="11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36"/>
        </w:trPr>
        <w:tc>
          <w:tcPr>
            <w:tcW w:w="8680" w:type="dxa"/>
            <w:vAlign w:val="bottom"/>
          </w:tcPr>
          <w:p>
            <w:pPr>
              <w:spacing w:after="0"/>
              <w:rPr>
                <w:sz w:val="20"/>
                <w:szCs w:val="20"/>
                <w:color w:val="auto"/>
              </w:rPr>
            </w:pPr>
            <w:r>
              <w:rPr>
                <w:rFonts w:ascii="Times New Roman" w:cs="Times New Roman" w:eastAsia="Times New Roman" w:hAnsi="Times New Roman"/>
                <w:sz w:val="18"/>
                <w:szCs w:val="18"/>
                <w:b w:val="1"/>
                <w:bCs w:val="1"/>
                <w:color w:val="auto"/>
              </w:rPr>
              <w:t>Comprehensive income attributable to ordinary shareholders</w:t>
            </w:r>
          </w:p>
        </w:tc>
        <w:tc>
          <w:tcPr>
            <w:tcW w:w="134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2,308,377</w:t>
            </w:r>
          </w:p>
        </w:tc>
        <w:tc>
          <w:tcPr>
            <w:tcW w:w="122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2,283,237</w:t>
            </w:r>
          </w:p>
        </w:tc>
      </w:tr>
      <w:tr>
        <w:trPr>
          <w:trHeight w:val="216"/>
        </w:trPr>
        <w:tc>
          <w:tcPr>
            <w:tcW w:w="8680" w:type="dxa"/>
            <w:vAlign w:val="bottom"/>
            <w:tcBorders>
              <w:top w:val="single" w:sz="8" w:color="CCEEFF"/>
            </w:tcBorders>
            <w:shd w:val="clear" w:color="auto" w:fill="CCEEFF"/>
          </w:tcPr>
          <w:p>
            <w:pPr>
              <w:spacing w:after="0"/>
              <w:rPr>
                <w:sz w:val="18"/>
                <w:szCs w:val="18"/>
                <w:color w:val="auto"/>
              </w:rPr>
            </w:pPr>
          </w:p>
        </w:tc>
        <w:tc>
          <w:tcPr>
            <w:tcW w:w="112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12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r>
      <w:tr>
        <w:trPr>
          <w:trHeight w:val="236"/>
        </w:trPr>
        <w:tc>
          <w:tcPr>
            <w:tcW w:w="8680" w:type="dxa"/>
            <w:vAlign w:val="bottom"/>
          </w:tcPr>
          <w:p>
            <w:pPr>
              <w:spacing w:after="0"/>
              <w:rPr>
                <w:sz w:val="20"/>
                <w:szCs w:val="20"/>
                <w:color w:val="auto"/>
              </w:rPr>
            </w:pPr>
            <w:r>
              <w:rPr>
                <w:rFonts w:ascii="Times New Roman" w:cs="Times New Roman" w:eastAsia="Times New Roman" w:hAnsi="Times New Roman"/>
                <w:sz w:val="18"/>
                <w:szCs w:val="18"/>
                <w:color w:val="auto"/>
              </w:rPr>
              <w:t>Comprehensive income attributable to non-controlling interest</w:t>
            </w:r>
          </w:p>
        </w:tc>
        <w:tc>
          <w:tcPr>
            <w:tcW w:w="134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w:t>
            </w:r>
          </w:p>
        </w:tc>
        <w:tc>
          <w:tcPr>
            <w:tcW w:w="1220" w:type="dxa"/>
            <w:vAlign w:val="bottom"/>
            <w:gridSpan w:val="2"/>
          </w:tcPr>
          <w:p>
            <w:pPr>
              <w:jc w:val="right"/>
              <w:ind w:right="40"/>
              <w:spacing w:after="0"/>
              <w:rPr>
                <w:sz w:val="20"/>
                <w:szCs w:val="20"/>
                <w:color w:val="auto"/>
              </w:rPr>
            </w:pPr>
            <w:r>
              <w:rPr>
                <w:rFonts w:ascii="Times New Roman" w:cs="Times New Roman" w:eastAsia="Times New Roman" w:hAnsi="Times New Roman"/>
                <w:sz w:val="18"/>
                <w:szCs w:val="18"/>
                <w:color w:val="auto"/>
              </w:rPr>
              <w:t>(16,538)</w:t>
            </w:r>
          </w:p>
        </w:tc>
      </w:tr>
      <w:tr>
        <w:trPr>
          <w:trHeight w:val="216"/>
        </w:trPr>
        <w:tc>
          <w:tcPr>
            <w:tcW w:w="8680" w:type="dxa"/>
            <w:vAlign w:val="bottom"/>
            <w:tcBorders>
              <w:top w:val="single" w:sz="8" w:color="CCEEFF"/>
            </w:tcBorders>
            <w:shd w:val="clear" w:color="auto" w:fill="CCEEFF"/>
          </w:tcPr>
          <w:p>
            <w:pPr>
              <w:spacing w:after="0"/>
              <w:rPr>
                <w:sz w:val="18"/>
                <w:szCs w:val="18"/>
                <w:color w:val="auto"/>
              </w:rPr>
            </w:pPr>
          </w:p>
        </w:tc>
        <w:tc>
          <w:tcPr>
            <w:tcW w:w="112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12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r>
      <w:tr>
        <w:trPr>
          <w:trHeight w:val="236"/>
        </w:trPr>
        <w:tc>
          <w:tcPr>
            <w:tcW w:w="8680" w:type="dxa"/>
            <w:vAlign w:val="bottom"/>
          </w:tcPr>
          <w:p>
            <w:pPr>
              <w:spacing w:after="0"/>
              <w:rPr>
                <w:sz w:val="20"/>
                <w:szCs w:val="20"/>
                <w:color w:val="auto"/>
              </w:rPr>
            </w:pPr>
            <w:r>
              <w:rPr>
                <w:rFonts w:ascii="Times New Roman" w:cs="Times New Roman" w:eastAsia="Times New Roman" w:hAnsi="Times New Roman"/>
                <w:sz w:val="18"/>
                <w:szCs w:val="18"/>
                <w:b w:val="1"/>
                <w:bCs w:val="1"/>
                <w:color w:val="auto"/>
              </w:rPr>
              <w:t>Total comprehensive income attributable to J-LONG GROUP LIMITED</w:t>
            </w:r>
          </w:p>
        </w:tc>
        <w:tc>
          <w:tcPr>
            <w:tcW w:w="134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2,308,377</w:t>
            </w:r>
          </w:p>
        </w:tc>
        <w:tc>
          <w:tcPr>
            <w:tcW w:w="122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2,266,699</w:t>
            </w:r>
          </w:p>
        </w:tc>
      </w:tr>
      <w:tr>
        <w:trPr>
          <w:trHeight w:val="216"/>
        </w:trPr>
        <w:tc>
          <w:tcPr>
            <w:tcW w:w="8680" w:type="dxa"/>
            <w:vAlign w:val="bottom"/>
            <w:tcBorders>
              <w:top w:val="single" w:sz="8" w:color="CCEEFF"/>
            </w:tcBorders>
            <w:shd w:val="clear" w:color="auto" w:fill="CCEEFF"/>
          </w:tcPr>
          <w:p>
            <w:pPr>
              <w:spacing w:after="0"/>
              <w:rPr>
                <w:sz w:val="18"/>
                <w:szCs w:val="18"/>
                <w:color w:val="auto"/>
              </w:rPr>
            </w:pPr>
          </w:p>
        </w:tc>
        <w:tc>
          <w:tcPr>
            <w:tcW w:w="112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12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r>
      <w:tr>
        <w:trPr>
          <w:trHeight w:val="216"/>
        </w:trPr>
        <w:tc>
          <w:tcPr>
            <w:tcW w:w="8680" w:type="dxa"/>
            <w:vAlign w:val="bottom"/>
          </w:tcPr>
          <w:p>
            <w:pPr>
              <w:spacing w:after="0"/>
              <w:rPr>
                <w:sz w:val="20"/>
                <w:szCs w:val="20"/>
                <w:color w:val="auto"/>
              </w:rPr>
            </w:pPr>
            <w:r>
              <w:rPr>
                <w:rFonts w:ascii="Times New Roman" w:cs="Times New Roman" w:eastAsia="Times New Roman" w:hAnsi="Times New Roman"/>
                <w:sz w:val="18"/>
                <w:szCs w:val="18"/>
                <w:b w:val="1"/>
                <w:bCs w:val="1"/>
                <w:color w:val="auto"/>
              </w:rPr>
              <w:t>Net income per share attributable to ordinary shareholders</w:t>
            </w:r>
          </w:p>
        </w:tc>
        <w:tc>
          <w:tcPr>
            <w:tcW w:w="11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50"/>
        </w:trPr>
        <w:tc>
          <w:tcPr>
            <w:tcW w:w="868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Basic and diluted</w:t>
            </w:r>
          </w:p>
        </w:tc>
        <w:tc>
          <w:tcPr>
            <w:tcW w:w="13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0.74</w:t>
            </w:r>
          </w:p>
        </w:tc>
        <w:tc>
          <w:tcPr>
            <w:tcW w:w="122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0.62</w:t>
            </w:r>
          </w:p>
        </w:tc>
      </w:tr>
      <w:tr>
        <w:trPr>
          <w:trHeight w:val="203"/>
        </w:trPr>
        <w:tc>
          <w:tcPr>
            <w:tcW w:w="8680" w:type="dxa"/>
            <w:vAlign w:val="bottom"/>
            <w:tcBorders>
              <w:top w:val="single" w:sz="8" w:color="CCEEFF"/>
            </w:tcBorders>
          </w:tcPr>
          <w:p>
            <w:pPr>
              <w:spacing w:after="0" w:line="203" w:lineRule="exact"/>
              <w:rPr>
                <w:sz w:val="20"/>
                <w:szCs w:val="20"/>
                <w:color w:val="auto"/>
              </w:rPr>
            </w:pPr>
            <w:r>
              <w:rPr>
                <w:rFonts w:ascii="Times New Roman" w:cs="Times New Roman" w:eastAsia="Times New Roman" w:hAnsi="Times New Roman"/>
                <w:sz w:val="18"/>
                <w:szCs w:val="18"/>
                <w:b w:val="1"/>
                <w:bCs w:val="1"/>
                <w:color w:val="auto"/>
              </w:rPr>
              <w:t>Weighted average number of ordinary shares used in computing net income per share</w:t>
            </w:r>
          </w:p>
        </w:tc>
        <w:tc>
          <w:tcPr>
            <w:tcW w:w="1120" w:type="dxa"/>
            <w:vAlign w:val="bottom"/>
            <w:tcBorders>
              <w:top w:val="single" w:sz="8" w:color="auto"/>
            </w:tcBorders>
          </w:tcPr>
          <w:p>
            <w:pPr>
              <w:spacing w:after="0"/>
              <w:rPr>
                <w:sz w:val="17"/>
                <w:szCs w:val="17"/>
                <w:color w:val="auto"/>
              </w:rPr>
            </w:pPr>
          </w:p>
        </w:tc>
        <w:tc>
          <w:tcPr>
            <w:tcW w:w="220" w:type="dxa"/>
            <w:vAlign w:val="bottom"/>
            <w:tcBorders>
              <w:top w:val="single" w:sz="8" w:color="CCEEFF"/>
            </w:tcBorders>
          </w:tcPr>
          <w:p>
            <w:pPr>
              <w:spacing w:after="0"/>
              <w:rPr>
                <w:sz w:val="17"/>
                <w:szCs w:val="17"/>
                <w:color w:val="auto"/>
              </w:rPr>
            </w:pPr>
          </w:p>
        </w:tc>
        <w:tc>
          <w:tcPr>
            <w:tcW w:w="1120" w:type="dxa"/>
            <w:vAlign w:val="bottom"/>
            <w:tcBorders>
              <w:top w:val="single" w:sz="8" w:color="auto"/>
            </w:tcBorders>
          </w:tcPr>
          <w:p>
            <w:pPr>
              <w:spacing w:after="0"/>
              <w:rPr>
                <w:sz w:val="17"/>
                <w:szCs w:val="17"/>
                <w:color w:val="auto"/>
              </w:rPr>
            </w:pPr>
          </w:p>
        </w:tc>
        <w:tc>
          <w:tcPr>
            <w:tcW w:w="100" w:type="dxa"/>
            <w:vAlign w:val="bottom"/>
            <w:tcBorders>
              <w:top w:val="single" w:sz="8" w:color="CCEEFF"/>
            </w:tcBorders>
          </w:tcPr>
          <w:p>
            <w:pPr>
              <w:spacing w:after="0"/>
              <w:rPr>
                <w:sz w:val="17"/>
                <w:szCs w:val="17"/>
                <w:color w:val="auto"/>
              </w:rPr>
            </w:pPr>
          </w:p>
        </w:tc>
      </w:tr>
      <w:tr>
        <w:trPr>
          <w:trHeight w:val="249"/>
        </w:trPr>
        <w:tc>
          <w:tcPr>
            <w:tcW w:w="868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Basic and diluted</w:t>
            </w:r>
          </w:p>
        </w:tc>
        <w:tc>
          <w:tcPr>
            <w:tcW w:w="13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3,140,000</w:t>
            </w:r>
          </w:p>
        </w:tc>
        <w:tc>
          <w:tcPr>
            <w:tcW w:w="122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3,760,517</w:t>
            </w:r>
          </w:p>
        </w:tc>
      </w:tr>
      <w:tr>
        <w:trPr>
          <w:trHeight w:val="642"/>
        </w:trPr>
        <w:tc>
          <w:tcPr>
            <w:tcW w:w="8680" w:type="dxa"/>
            <w:vAlign w:val="bottom"/>
            <w:tcBorders>
              <w:top w:val="single" w:sz="8" w:color="CCEEFF"/>
              <w:bottom w:val="single" w:sz="8" w:color="auto"/>
            </w:tcBorders>
          </w:tcPr>
          <w:p>
            <w:pPr>
              <w:ind w:left="5580"/>
              <w:spacing w:after="0"/>
              <w:rPr>
                <w:sz w:val="20"/>
                <w:szCs w:val="20"/>
                <w:color w:val="auto"/>
              </w:rPr>
            </w:pPr>
            <w:r>
              <w:rPr>
                <w:rFonts w:ascii="Times New Roman" w:cs="Times New Roman" w:eastAsia="Times New Roman" w:hAnsi="Times New Roman"/>
                <w:sz w:val="18"/>
                <w:szCs w:val="18"/>
                <w:color w:val="auto"/>
              </w:rPr>
              <w:t>3</w:t>
            </w:r>
          </w:p>
        </w:tc>
        <w:tc>
          <w:tcPr>
            <w:tcW w:w="1120" w:type="dxa"/>
            <w:vAlign w:val="bottom"/>
            <w:tcBorders>
              <w:top w:val="single" w:sz="8" w:color="auto"/>
              <w:bottom w:val="single" w:sz="8" w:color="auto"/>
            </w:tcBorders>
          </w:tcPr>
          <w:p>
            <w:pPr>
              <w:spacing w:after="0"/>
              <w:rPr>
                <w:sz w:val="24"/>
                <w:szCs w:val="24"/>
                <w:color w:val="auto"/>
              </w:rPr>
            </w:pPr>
          </w:p>
        </w:tc>
        <w:tc>
          <w:tcPr>
            <w:tcW w:w="220" w:type="dxa"/>
            <w:vAlign w:val="bottom"/>
            <w:tcBorders>
              <w:top w:val="single" w:sz="8" w:color="CCEEFF"/>
              <w:bottom w:val="single" w:sz="8" w:color="auto"/>
            </w:tcBorders>
          </w:tcPr>
          <w:p>
            <w:pPr>
              <w:spacing w:after="0"/>
              <w:rPr>
                <w:sz w:val="24"/>
                <w:szCs w:val="24"/>
                <w:color w:val="auto"/>
              </w:rPr>
            </w:pPr>
          </w:p>
        </w:tc>
        <w:tc>
          <w:tcPr>
            <w:tcW w:w="1120" w:type="dxa"/>
            <w:vAlign w:val="bottom"/>
            <w:tcBorders>
              <w:top w:val="single" w:sz="8" w:color="auto"/>
              <w:bottom w:val="single" w:sz="8" w:color="auto"/>
            </w:tcBorders>
          </w:tcPr>
          <w:p>
            <w:pPr>
              <w:spacing w:after="0"/>
              <w:rPr>
                <w:sz w:val="24"/>
                <w:szCs w:val="24"/>
                <w:color w:val="auto"/>
              </w:rPr>
            </w:pPr>
          </w:p>
        </w:tc>
        <w:tc>
          <w:tcPr>
            <w:tcW w:w="100" w:type="dxa"/>
            <w:vAlign w:val="bottom"/>
            <w:tcBorders>
              <w:top w:val="single" w:sz="8" w:color="CCEEFF"/>
              <w:bottom w:val="single" w:sz="8" w:color="auto"/>
            </w:tcBorders>
          </w:tcPr>
          <w:p>
            <w:pPr>
              <w:spacing w:after="0"/>
              <w:rPr>
                <w:sz w:val="24"/>
                <w:szCs w:val="24"/>
                <w:color w:val="auto"/>
              </w:rPr>
            </w:pPr>
          </w:p>
        </w:tc>
      </w:tr>
    </w:tbl>
    <w:p>
      <w:pPr>
        <w:sectPr>
          <w:pgSz w:w="11900" w:h="16838" w:orient="portrait"/>
          <w:cols w:equalWidth="0" w:num="1">
            <w:col w:w="11240"/>
          </w:cols>
          <w:pgMar w:left="320" w:top="333" w:right="339" w:bottom="1440" w:gutter="0" w:footer="0" w:header="0"/>
        </w:sectPr>
      </w:pPr>
    </w:p>
    <w:bookmarkStart w:id="4" w:name="page5"/>
    <w:bookmarkEnd w:id="4"/>
    <w:p>
      <w:pPr>
        <w:spacing w:after="0"/>
        <w:rPr>
          <w:sz w:val="20"/>
          <w:szCs w:val="20"/>
          <w:color w:val="auto"/>
        </w:rPr>
      </w:pPr>
      <w:r>
        <w:rPr>
          <w:rFonts w:ascii="Times New Roman" w:cs="Times New Roman" w:eastAsia="Times New Roman" w:hAnsi="Times New Roman"/>
          <w:sz w:val="18"/>
          <w:szCs w:val="18"/>
          <w:b w:val="1"/>
          <w:bCs w:val="1"/>
          <w:color w:val="auto"/>
        </w:rPr>
        <w:t>Use of Non-GAAP Financial Measure</w:t>
      </w:r>
    </w:p>
    <w:p>
      <w:pPr>
        <w:spacing w:after="0" w:line="229"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We use earnings before interest expenses and income, income tax expense/(benefit) and depreciation, and amortization ("EBlTDA”) and adjusted EBITDA, non-GAAP financial measures, in evaluating our operating results and for financial and operational decision-making purposes. EBlTDA represents net profit excluding income tax expense/(benefit), interest expenses, interest income and depreciation and amortization. Adjusted EBITDA represents net loss excluding changes in share-based awards expense, income tax expense/(benefit), interest expense, interest income and depreciation and amortization.</w:t>
      </w:r>
    </w:p>
    <w:p>
      <w:pPr>
        <w:spacing w:after="0" w:line="180" w:lineRule="exact"/>
        <w:rPr>
          <w:sz w:val="20"/>
          <w:szCs w:val="20"/>
          <w:color w:val="auto"/>
        </w:rPr>
      </w:pPr>
    </w:p>
    <w:p>
      <w:pPr>
        <w:jc w:val="both"/>
        <w:spacing w:after="0" w:line="256" w:lineRule="auto"/>
        <w:rPr>
          <w:sz w:val="20"/>
          <w:szCs w:val="20"/>
          <w:color w:val="auto"/>
        </w:rPr>
      </w:pPr>
      <w:r>
        <w:rPr>
          <w:rFonts w:ascii="Times New Roman" w:cs="Times New Roman" w:eastAsia="Times New Roman" w:hAnsi="Times New Roman"/>
          <w:sz w:val="18"/>
          <w:szCs w:val="18"/>
          <w:color w:val="auto"/>
        </w:rPr>
        <w:t>We believe that the adjusted EBITDA helps to identify underly trends in our business that could otherwise be distorted by the effect of certain expenses that we are included in net loss. We believe that adjusted EBITDA provided useful information about our operating results, enhance the overall understanding of our past performance and future prospect and allow for greater visibility with respect to key metrics used by our management uses in its financial and operational decision making, In additions, the company provides EBITDA because we believe that investors and analysts may find it useful in measuring operating performance without regard to items such as income tax expense/(benefit), interest expenses and interest income and depreciation and amortization.</w:t>
      </w:r>
    </w:p>
    <w:p>
      <w:pPr>
        <w:spacing w:after="0" w:line="183" w:lineRule="exact"/>
        <w:rPr>
          <w:sz w:val="20"/>
          <w:szCs w:val="20"/>
          <w:color w:val="auto"/>
        </w:rPr>
      </w:pPr>
    </w:p>
    <w:p>
      <w:pPr>
        <w:jc w:val="center"/>
        <w:ind w:left="8540"/>
        <w:spacing w:after="0"/>
        <w:rPr>
          <w:sz w:val="20"/>
          <w:szCs w:val="20"/>
          <w:color w:val="auto"/>
        </w:rPr>
      </w:pPr>
      <w:r>
        <w:rPr>
          <w:rFonts w:ascii="Times New Roman" w:cs="Times New Roman" w:eastAsia="Times New Roman" w:hAnsi="Times New Roman"/>
          <w:sz w:val="18"/>
          <w:szCs w:val="18"/>
          <w:b w:val="1"/>
          <w:bCs w:val="1"/>
          <w:color w:val="auto"/>
        </w:rPr>
        <w:t>For the six months ended</w:t>
      </w:r>
    </w:p>
    <w:p>
      <w:pPr>
        <w:spacing w:after="0" w:line="31" w:lineRule="exact"/>
        <w:rPr>
          <w:sz w:val="20"/>
          <w:szCs w:val="20"/>
          <w:color w:val="auto"/>
        </w:rPr>
      </w:pPr>
    </w:p>
    <w:p>
      <w:pPr>
        <w:jc w:val="center"/>
        <w:ind w:left="8540"/>
        <w:spacing w:after="0"/>
        <w:rPr>
          <w:sz w:val="20"/>
          <w:szCs w:val="20"/>
          <w:color w:val="auto"/>
        </w:rPr>
      </w:pPr>
      <w:r>
        <w:rPr>
          <w:rFonts w:ascii="Times New Roman" w:cs="Times New Roman" w:eastAsia="Times New Roman" w:hAnsi="Times New Roman"/>
          <w:sz w:val="18"/>
          <w:szCs w:val="18"/>
          <w:b w:val="1"/>
          <w:bCs w:val="1"/>
          <w:color w:val="auto"/>
        </w:rPr>
        <w:t>September 30,</w:t>
      </w:r>
    </w:p>
    <w:p>
      <w:pPr>
        <w:spacing w:after="0" w:line="9" w:lineRule="exact"/>
        <w:rPr>
          <w:sz w:val="20"/>
          <w:szCs w:val="20"/>
          <w:color w:val="auto"/>
        </w:rPr>
      </w:pPr>
    </w:p>
    <w:tbl>
      <w:tblPr>
        <w:tblLayout w:type="fixed"/>
        <w:tblInd w:w="0" w:type="dxa"/>
        <w:tblCellMar>
          <w:top w:w="0" w:type="dxa"/>
          <w:left w:w="0" w:type="dxa"/>
          <w:bottom w:w="0" w:type="dxa"/>
          <w:right w:w="0" w:type="dxa"/>
        </w:tblCellMar>
      </w:tblPr>
      <w:tr>
        <w:trPr>
          <w:trHeight w:val="244"/>
        </w:trPr>
        <w:tc>
          <w:tcPr>
            <w:tcW w:w="8680" w:type="dxa"/>
            <w:vAlign w:val="bottom"/>
          </w:tcPr>
          <w:p>
            <w:pPr>
              <w:spacing w:after="0"/>
              <w:rPr>
                <w:sz w:val="21"/>
                <w:szCs w:val="21"/>
                <w:color w:val="auto"/>
              </w:rPr>
            </w:pPr>
          </w:p>
        </w:tc>
        <w:tc>
          <w:tcPr>
            <w:tcW w:w="1120" w:type="dxa"/>
            <w:vAlign w:val="bottom"/>
            <w:tcBorders>
              <w:top w:val="single" w:sz="8" w:color="auto"/>
              <w:bottom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2024</w:t>
            </w:r>
          </w:p>
        </w:tc>
        <w:tc>
          <w:tcPr>
            <w:tcW w:w="220" w:type="dxa"/>
            <w:vAlign w:val="bottom"/>
            <w:tcBorders>
              <w:top w:val="single" w:sz="8" w:color="auto"/>
            </w:tcBorders>
          </w:tcPr>
          <w:p>
            <w:pPr>
              <w:spacing w:after="0"/>
              <w:rPr>
                <w:sz w:val="21"/>
                <w:szCs w:val="21"/>
                <w:color w:val="auto"/>
              </w:rPr>
            </w:pPr>
          </w:p>
        </w:tc>
        <w:tc>
          <w:tcPr>
            <w:tcW w:w="1120" w:type="dxa"/>
            <w:vAlign w:val="bottom"/>
            <w:tcBorders>
              <w:top w:val="single" w:sz="8" w:color="auto"/>
              <w:bottom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2025</w:t>
            </w:r>
          </w:p>
        </w:tc>
        <w:tc>
          <w:tcPr>
            <w:tcW w:w="20" w:type="dxa"/>
            <w:vAlign w:val="bottom"/>
          </w:tcPr>
          <w:p>
            <w:pPr>
              <w:spacing w:after="0"/>
              <w:rPr>
                <w:sz w:val="21"/>
                <w:szCs w:val="21"/>
                <w:color w:val="auto"/>
              </w:rPr>
            </w:pPr>
          </w:p>
        </w:tc>
        <w:tc>
          <w:tcPr>
            <w:tcW w:w="80" w:type="dxa"/>
            <w:vAlign w:val="bottom"/>
          </w:tcPr>
          <w:p>
            <w:pPr>
              <w:spacing w:after="0"/>
              <w:rPr>
                <w:sz w:val="21"/>
                <w:szCs w:val="21"/>
                <w:color w:val="auto"/>
              </w:rPr>
            </w:pPr>
          </w:p>
        </w:tc>
      </w:tr>
      <w:tr>
        <w:trPr>
          <w:trHeight w:val="223"/>
        </w:trPr>
        <w:tc>
          <w:tcPr>
            <w:tcW w:w="8680" w:type="dxa"/>
            <w:vAlign w:val="bottom"/>
          </w:tcPr>
          <w:p>
            <w:pPr>
              <w:spacing w:after="0"/>
              <w:rPr>
                <w:sz w:val="19"/>
                <w:szCs w:val="19"/>
                <w:color w:val="auto"/>
              </w:rPr>
            </w:pPr>
          </w:p>
        </w:tc>
        <w:tc>
          <w:tcPr>
            <w:tcW w:w="112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USD</w:t>
            </w:r>
          </w:p>
        </w:tc>
        <w:tc>
          <w:tcPr>
            <w:tcW w:w="220" w:type="dxa"/>
            <w:vAlign w:val="bottom"/>
          </w:tcPr>
          <w:p>
            <w:pPr>
              <w:spacing w:after="0"/>
              <w:rPr>
                <w:sz w:val="19"/>
                <w:szCs w:val="19"/>
                <w:color w:val="auto"/>
              </w:rPr>
            </w:pPr>
          </w:p>
        </w:tc>
        <w:tc>
          <w:tcPr>
            <w:tcW w:w="112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USD</w:t>
            </w:r>
          </w:p>
        </w:tc>
        <w:tc>
          <w:tcPr>
            <w:tcW w:w="100" w:type="dxa"/>
            <w:vAlign w:val="bottom"/>
            <w:gridSpan w:val="2"/>
          </w:tcPr>
          <w:p>
            <w:pPr>
              <w:spacing w:after="0"/>
              <w:rPr>
                <w:sz w:val="19"/>
                <w:szCs w:val="19"/>
                <w:color w:val="auto"/>
              </w:rPr>
            </w:pPr>
          </w:p>
        </w:tc>
      </w:tr>
      <w:tr>
        <w:trPr>
          <w:trHeight w:val="223"/>
        </w:trPr>
        <w:tc>
          <w:tcPr>
            <w:tcW w:w="8680" w:type="dxa"/>
            <w:vAlign w:val="bottom"/>
            <w:tcBorders>
              <w:bottom w:val="single" w:sz="8" w:color="CCEEFF"/>
            </w:tcBorders>
          </w:tcPr>
          <w:p>
            <w:pPr>
              <w:spacing w:after="0"/>
              <w:rPr>
                <w:sz w:val="19"/>
                <w:szCs w:val="19"/>
                <w:color w:val="auto"/>
              </w:rPr>
            </w:pPr>
          </w:p>
        </w:tc>
        <w:tc>
          <w:tcPr>
            <w:tcW w:w="112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8"/>
              </w:rPr>
              <w:t>(Unaudited)</w:t>
            </w:r>
          </w:p>
        </w:tc>
        <w:tc>
          <w:tcPr>
            <w:tcW w:w="220" w:type="dxa"/>
            <w:vAlign w:val="bottom"/>
            <w:tcBorders>
              <w:bottom w:val="single" w:sz="8" w:color="CCEEFF"/>
            </w:tcBorders>
          </w:tcPr>
          <w:p>
            <w:pPr>
              <w:spacing w:after="0"/>
              <w:rPr>
                <w:sz w:val="19"/>
                <w:szCs w:val="19"/>
                <w:color w:val="auto"/>
              </w:rPr>
            </w:pPr>
          </w:p>
        </w:tc>
        <w:tc>
          <w:tcPr>
            <w:tcW w:w="112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8"/>
              </w:rPr>
              <w:t>(Unaudited)</w:t>
            </w:r>
          </w:p>
        </w:tc>
        <w:tc>
          <w:tcPr>
            <w:tcW w:w="100" w:type="dxa"/>
            <w:vAlign w:val="bottom"/>
            <w:tcBorders>
              <w:bottom w:val="single" w:sz="8" w:color="CCEEFF"/>
            </w:tcBorders>
            <w:gridSpan w:val="2"/>
          </w:tcPr>
          <w:p>
            <w:pPr>
              <w:spacing w:after="0"/>
              <w:rPr>
                <w:sz w:val="19"/>
                <w:szCs w:val="19"/>
                <w:color w:val="auto"/>
              </w:rPr>
            </w:pPr>
          </w:p>
        </w:tc>
      </w:tr>
      <w:tr>
        <w:trPr>
          <w:trHeight w:val="216"/>
        </w:trPr>
        <w:tc>
          <w:tcPr>
            <w:tcW w:w="868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b w:val="1"/>
                <w:bCs w:val="1"/>
                <w:color w:val="auto"/>
              </w:rPr>
              <w:t>Net income attributable to ordinary shareholders</w:t>
            </w:r>
          </w:p>
        </w:tc>
        <w:tc>
          <w:tcPr>
            <w:tcW w:w="11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2,308,377</w:t>
            </w:r>
          </w:p>
        </w:tc>
        <w:tc>
          <w:tcPr>
            <w:tcW w:w="220" w:type="dxa"/>
            <w:vAlign w:val="bottom"/>
            <w:shd w:val="clear" w:color="auto" w:fill="CCEEFF"/>
          </w:tcPr>
          <w:p>
            <w:pPr>
              <w:spacing w:after="0"/>
              <w:rPr>
                <w:sz w:val="18"/>
                <w:szCs w:val="18"/>
                <w:color w:val="auto"/>
              </w:rPr>
            </w:pPr>
          </w:p>
        </w:tc>
        <w:tc>
          <w:tcPr>
            <w:tcW w:w="11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2,302,875</w:t>
            </w: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r>
      <w:tr>
        <w:trPr>
          <w:trHeight w:val="216"/>
        </w:trPr>
        <w:tc>
          <w:tcPr>
            <w:tcW w:w="8680" w:type="dxa"/>
            <w:vAlign w:val="bottom"/>
          </w:tcPr>
          <w:p>
            <w:pPr>
              <w:spacing w:after="0"/>
              <w:rPr>
                <w:sz w:val="20"/>
                <w:szCs w:val="20"/>
                <w:color w:val="auto"/>
              </w:rPr>
            </w:pPr>
            <w:r>
              <w:rPr>
                <w:rFonts w:ascii="Times New Roman" w:cs="Times New Roman" w:eastAsia="Times New Roman" w:hAnsi="Times New Roman"/>
                <w:sz w:val="18"/>
                <w:szCs w:val="18"/>
                <w:color w:val="auto"/>
              </w:rPr>
              <w:t>Add:</w:t>
            </w:r>
          </w:p>
        </w:tc>
        <w:tc>
          <w:tcPr>
            <w:tcW w:w="11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8680" w:type="dxa"/>
            <w:vAlign w:val="bottom"/>
            <w:shd w:val="clear" w:color="auto" w:fill="CCEEFF"/>
          </w:tcPr>
          <w:p>
            <w:pPr>
              <w:ind w:left="180"/>
              <w:spacing w:after="0"/>
              <w:rPr>
                <w:sz w:val="20"/>
                <w:szCs w:val="20"/>
                <w:color w:val="auto"/>
              </w:rPr>
            </w:pPr>
            <w:r>
              <w:rPr>
                <w:rFonts w:ascii="Times New Roman" w:cs="Times New Roman" w:eastAsia="Times New Roman" w:hAnsi="Times New Roman"/>
                <w:sz w:val="18"/>
                <w:szCs w:val="18"/>
                <w:color w:val="auto"/>
              </w:rPr>
              <w:t>Income tax expense</w:t>
            </w:r>
          </w:p>
        </w:tc>
        <w:tc>
          <w:tcPr>
            <w:tcW w:w="13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471,820</w:t>
            </w:r>
          </w:p>
        </w:tc>
        <w:tc>
          <w:tcPr>
            <w:tcW w:w="114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8"/>
                <w:szCs w:val="18"/>
                <w:color w:val="auto"/>
              </w:rPr>
              <w:t>676,643</w:t>
            </w:r>
          </w:p>
        </w:tc>
        <w:tc>
          <w:tcPr>
            <w:tcW w:w="80" w:type="dxa"/>
            <w:vAlign w:val="bottom"/>
            <w:shd w:val="clear" w:color="auto" w:fill="CCEEFF"/>
          </w:tcPr>
          <w:p>
            <w:pPr>
              <w:spacing w:after="0"/>
              <w:rPr>
                <w:sz w:val="18"/>
                <w:szCs w:val="18"/>
                <w:color w:val="auto"/>
              </w:rPr>
            </w:pPr>
          </w:p>
        </w:tc>
      </w:tr>
      <w:tr>
        <w:trPr>
          <w:trHeight w:val="216"/>
        </w:trPr>
        <w:tc>
          <w:tcPr>
            <w:tcW w:w="8680" w:type="dxa"/>
            <w:vAlign w:val="bottom"/>
          </w:tcPr>
          <w:p>
            <w:pPr>
              <w:ind w:left="180"/>
              <w:spacing w:after="0"/>
              <w:rPr>
                <w:sz w:val="20"/>
                <w:szCs w:val="20"/>
                <w:color w:val="auto"/>
              </w:rPr>
            </w:pPr>
            <w:r>
              <w:rPr>
                <w:rFonts w:ascii="Times New Roman" w:cs="Times New Roman" w:eastAsia="Times New Roman" w:hAnsi="Times New Roman"/>
                <w:sz w:val="18"/>
                <w:szCs w:val="18"/>
                <w:color w:val="auto"/>
              </w:rPr>
              <w:t>Interest expenses</w:t>
            </w:r>
          </w:p>
        </w:tc>
        <w:tc>
          <w:tcPr>
            <w:tcW w:w="134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57,540</w:t>
            </w:r>
          </w:p>
        </w:tc>
        <w:tc>
          <w:tcPr>
            <w:tcW w:w="1220" w:type="dxa"/>
            <w:vAlign w:val="bottom"/>
            <w:gridSpan w:val="3"/>
          </w:tcPr>
          <w:p>
            <w:pPr>
              <w:jc w:val="right"/>
              <w:ind w:right="100"/>
              <w:spacing w:after="0"/>
              <w:rPr>
                <w:sz w:val="20"/>
                <w:szCs w:val="20"/>
                <w:color w:val="auto"/>
              </w:rPr>
            </w:pPr>
            <w:r>
              <w:rPr>
                <w:rFonts w:ascii="Times New Roman" w:cs="Times New Roman" w:eastAsia="Times New Roman" w:hAnsi="Times New Roman"/>
                <w:sz w:val="18"/>
                <w:szCs w:val="18"/>
                <w:color w:val="auto"/>
              </w:rPr>
              <w:t>35,221</w:t>
            </w:r>
          </w:p>
        </w:tc>
      </w:tr>
      <w:tr>
        <w:trPr>
          <w:trHeight w:val="216"/>
        </w:trPr>
        <w:tc>
          <w:tcPr>
            <w:tcW w:w="8680" w:type="dxa"/>
            <w:vAlign w:val="bottom"/>
            <w:shd w:val="clear" w:color="auto" w:fill="CCEEFF"/>
          </w:tcPr>
          <w:p>
            <w:pPr>
              <w:ind w:left="180"/>
              <w:spacing w:after="0"/>
              <w:rPr>
                <w:sz w:val="20"/>
                <w:szCs w:val="20"/>
                <w:color w:val="auto"/>
              </w:rPr>
            </w:pPr>
            <w:r>
              <w:rPr>
                <w:rFonts w:ascii="Times New Roman" w:cs="Times New Roman" w:eastAsia="Times New Roman" w:hAnsi="Times New Roman"/>
                <w:sz w:val="18"/>
                <w:szCs w:val="18"/>
                <w:color w:val="auto"/>
              </w:rPr>
              <w:t>Interest income</w:t>
            </w:r>
          </w:p>
        </w:tc>
        <w:tc>
          <w:tcPr>
            <w:tcW w:w="1340" w:type="dxa"/>
            <w:vAlign w:val="bottom"/>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18"/>
                <w:szCs w:val="18"/>
                <w:color w:val="auto"/>
              </w:rPr>
              <w:t>(115,827)</w:t>
            </w:r>
          </w:p>
        </w:tc>
        <w:tc>
          <w:tcPr>
            <w:tcW w:w="1220" w:type="dxa"/>
            <w:vAlign w:val="bottom"/>
            <w:gridSpan w:val="3"/>
            <w:shd w:val="clear" w:color="auto" w:fill="CCEEFF"/>
          </w:tcPr>
          <w:p>
            <w:pPr>
              <w:jc w:val="right"/>
              <w:ind w:right="40"/>
              <w:spacing w:after="0"/>
              <w:rPr>
                <w:sz w:val="20"/>
                <w:szCs w:val="20"/>
                <w:color w:val="auto"/>
              </w:rPr>
            </w:pPr>
            <w:r>
              <w:rPr>
                <w:rFonts w:ascii="Times New Roman" w:cs="Times New Roman" w:eastAsia="Times New Roman" w:hAnsi="Times New Roman"/>
                <w:sz w:val="18"/>
                <w:szCs w:val="18"/>
                <w:color w:val="auto"/>
              </w:rPr>
              <w:t>(209,466)</w:t>
            </w:r>
          </w:p>
        </w:tc>
      </w:tr>
      <w:tr>
        <w:trPr>
          <w:trHeight w:val="236"/>
        </w:trPr>
        <w:tc>
          <w:tcPr>
            <w:tcW w:w="8680" w:type="dxa"/>
            <w:vAlign w:val="bottom"/>
          </w:tcPr>
          <w:p>
            <w:pPr>
              <w:ind w:left="180"/>
              <w:spacing w:after="0"/>
              <w:rPr>
                <w:sz w:val="20"/>
                <w:szCs w:val="20"/>
                <w:color w:val="auto"/>
              </w:rPr>
            </w:pPr>
            <w:r>
              <w:rPr>
                <w:rFonts w:ascii="Times New Roman" w:cs="Times New Roman" w:eastAsia="Times New Roman" w:hAnsi="Times New Roman"/>
                <w:sz w:val="18"/>
                <w:szCs w:val="18"/>
                <w:color w:val="auto"/>
              </w:rPr>
              <w:t>Depreciation</w:t>
            </w:r>
          </w:p>
        </w:tc>
        <w:tc>
          <w:tcPr>
            <w:tcW w:w="134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85,350</w:t>
            </w:r>
          </w:p>
        </w:tc>
        <w:tc>
          <w:tcPr>
            <w:tcW w:w="1140" w:type="dxa"/>
            <w:vAlign w:val="bottom"/>
            <w:gridSpan w:val="2"/>
          </w:tcPr>
          <w:p>
            <w:pPr>
              <w:jc w:val="right"/>
              <w:ind w:right="20"/>
              <w:spacing w:after="0"/>
              <w:rPr>
                <w:sz w:val="20"/>
                <w:szCs w:val="20"/>
                <w:color w:val="auto"/>
              </w:rPr>
            </w:pPr>
            <w:r>
              <w:rPr>
                <w:rFonts w:ascii="Times New Roman" w:cs="Times New Roman" w:eastAsia="Times New Roman" w:hAnsi="Times New Roman"/>
                <w:sz w:val="18"/>
                <w:szCs w:val="18"/>
                <w:color w:val="auto"/>
              </w:rPr>
              <w:t>176,626</w:t>
            </w:r>
          </w:p>
        </w:tc>
        <w:tc>
          <w:tcPr>
            <w:tcW w:w="80" w:type="dxa"/>
            <w:vAlign w:val="bottom"/>
          </w:tcPr>
          <w:p>
            <w:pPr>
              <w:spacing w:after="0"/>
              <w:rPr>
                <w:sz w:val="20"/>
                <w:szCs w:val="20"/>
                <w:color w:val="auto"/>
              </w:rPr>
            </w:pPr>
          </w:p>
        </w:tc>
      </w:tr>
      <w:tr>
        <w:trPr>
          <w:trHeight w:val="216"/>
        </w:trPr>
        <w:tc>
          <w:tcPr>
            <w:tcW w:w="8680" w:type="dxa"/>
            <w:vAlign w:val="bottom"/>
            <w:tcBorders>
              <w:top w:val="single" w:sz="8" w:color="CCEEFF"/>
            </w:tcBorders>
            <w:shd w:val="clear" w:color="auto" w:fill="CCEEFF"/>
          </w:tcPr>
          <w:p>
            <w:pPr>
              <w:spacing w:after="0"/>
              <w:rPr>
                <w:sz w:val="20"/>
                <w:szCs w:val="20"/>
                <w:color w:val="auto"/>
              </w:rPr>
            </w:pPr>
            <w:r>
              <w:rPr>
                <w:rFonts w:ascii="Times New Roman" w:cs="Times New Roman" w:eastAsia="Times New Roman" w:hAnsi="Times New Roman"/>
                <w:sz w:val="18"/>
                <w:szCs w:val="18"/>
                <w:b w:val="1"/>
                <w:bCs w:val="1"/>
                <w:color w:val="auto"/>
              </w:rPr>
              <w:t>EBITDA</w:t>
            </w:r>
          </w:p>
        </w:tc>
        <w:tc>
          <w:tcPr>
            <w:tcW w:w="112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2,807,260</w:t>
            </w:r>
          </w:p>
        </w:tc>
        <w:tc>
          <w:tcPr>
            <w:tcW w:w="220" w:type="dxa"/>
            <w:vAlign w:val="bottom"/>
            <w:tcBorders>
              <w:top w:val="single" w:sz="8" w:color="CCEEFF"/>
            </w:tcBorders>
            <w:shd w:val="clear" w:color="auto" w:fill="CCEEFF"/>
          </w:tcPr>
          <w:p>
            <w:pPr>
              <w:spacing w:after="0"/>
              <w:rPr>
                <w:sz w:val="18"/>
                <w:szCs w:val="18"/>
                <w:color w:val="auto"/>
              </w:rPr>
            </w:pPr>
          </w:p>
        </w:tc>
        <w:tc>
          <w:tcPr>
            <w:tcW w:w="112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2,981,899</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r>
      <w:tr>
        <w:trPr>
          <w:trHeight w:val="216"/>
        </w:trPr>
        <w:tc>
          <w:tcPr>
            <w:tcW w:w="8680" w:type="dxa"/>
            <w:vAlign w:val="bottom"/>
          </w:tcPr>
          <w:p>
            <w:pPr>
              <w:ind w:left="180"/>
              <w:spacing w:after="0"/>
              <w:rPr>
                <w:sz w:val="20"/>
                <w:szCs w:val="20"/>
                <w:color w:val="auto"/>
              </w:rPr>
            </w:pPr>
            <w:r>
              <w:rPr>
                <w:rFonts w:ascii="Times New Roman" w:cs="Times New Roman" w:eastAsia="Times New Roman" w:hAnsi="Times New Roman"/>
                <w:sz w:val="18"/>
                <w:szCs w:val="18"/>
                <w:color w:val="auto"/>
              </w:rPr>
              <w:t>Add:</w:t>
            </w:r>
          </w:p>
        </w:tc>
        <w:tc>
          <w:tcPr>
            <w:tcW w:w="11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49"/>
        </w:trPr>
        <w:tc>
          <w:tcPr>
            <w:tcW w:w="8680" w:type="dxa"/>
            <w:vAlign w:val="bottom"/>
            <w:shd w:val="clear" w:color="auto" w:fill="CCEEFF"/>
          </w:tcPr>
          <w:p>
            <w:pPr>
              <w:ind w:left="180"/>
              <w:spacing w:after="0"/>
              <w:rPr>
                <w:sz w:val="20"/>
                <w:szCs w:val="20"/>
                <w:color w:val="auto"/>
              </w:rPr>
            </w:pPr>
            <w:r>
              <w:rPr>
                <w:rFonts w:ascii="Times New Roman" w:cs="Times New Roman" w:eastAsia="Times New Roman" w:hAnsi="Times New Roman"/>
                <w:sz w:val="18"/>
                <w:szCs w:val="18"/>
                <w:color w:val="auto"/>
              </w:rPr>
              <w:t>Share-based awards</w:t>
            </w:r>
          </w:p>
        </w:tc>
        <w:tc>
          <w:tcPr>
            <w:tcW w:w="13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w:t>
            </w:r>
          </w:p>
        </w:tc>
        <w:tc>
          <w:tcPr>
            <w:tcW w:w="114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8"/>
                <w:szCs w:val="18"/>
                <w:color w:val="auto"/>
              </w:rPr>
              <w:t>955,916</w:t>
            </w:r>
          </w:p>
        </w:tc>
        <w:tc>
          <w:tcPr>
            <w:tcW w:w="80" w:type="dxa"/>
            <w:vAlign w:val="bottom"/>
            <w:shd w:val="clear" w:color="auto" w:fill="CCEEFF"/>
          </w:tcPr>
          <w:p>
            <w:pPr>
              <w:spacing w:after="0"/>
              <w:rPr>
                <w:sz w:val="21"/>
                <w:szCs w:val="21"/>
                <w:color w:val="auto"/>
              </w:rPr>
            </w:pPr>
          </w:p>
        </w:tc>
      </w:tr>
      <w:tr>
        <w:trPr>
          <w:trHeight w:val="210"/>
        </w:trPr>
        <w:tc>
          <w:tcPr>
            <w:tcW w:w="8680" w:type="dxa"/>
            <w:vAlign w:val="bottom"/>
            <w:tcBorders>
              <w:top w:val="single" w:sz="8" w:color="CCEEFF"/>
            </w:tcBorders>
          </w:tcPr>
          <w:p>
            <w:pPr>
              <w:spacing w:after="0" w:line="203" w:lineRule="exact"/>
              <w:rPr>
                <w:sz w:val="20"/>
                <w:szCs w:val="20"/>
                <w:color w:val="auto"/>
              </w:rPr>
            </w:pPr>
            <w:r>
              <w:rPr>
                <w:rFonts w:ascii="Times New Roman" w:cs="Times New Roman" w:eastAsia="Times New Roman" w:hAnsi="Times New Roman"/>
                <w:sz w:val="18"/>
                <w:szCs w:val="18"/>
                <w:color w:val="auto"/>
              </w:rPr>
              <w:t>Adjusted EBITDA</w:t>
            </w:r>
          </w:p>
        </w:tc>
        <w:tc>
          <w:tcPr>
            <w:tcW w:w="1120" w:type="dxa"/>
            <w:vAlign w:val="bottom"/>
            <w:tcBorders>
              <w:top w:val="single" w:sz="8" w:color="auto"/>
              <w:bottom w:val="single" w:sz="8" w:color="auto"/>
            </w:tcBorders>
          </w:tcPr>
          <w:p>
            <w:pPr>
              <w:jc w:val="right"/>
              <w:spacing w:after="0" w:line="203" w:lineRule="exact"/>
              <w:rPr>
                <w:sz w:val="20"/>
                <w:szCs w:val="20"/>
                <w:color w:val="auto"/>
              </w:rPr>
            </w:pPr>
            <w:r>
              <w:rPr>
                <w:rFonts w:ascii="Times New Roman" w:cs="Times New Roman" w:eastAsia="Times New Roman" w:hAnsi="Times New Roman"/>
                <w:sz w:val="18"/>
                <w:szCs w:val="18"/>
                <w:color w:val="auto"/>
              </w:rPr>
              <w:t>2,807,260</w:t>
            </w:r>
          </w:p>
        </w:tc>
        <w:tc>
          <w:tcPr>
            <w:tcW w:w="220" w:type="dxa"/>
            <w:vAlign w:val="bottom"/>
            <w:tcBorders>
              <w:top w:val="single" w:sz="8" w:color="CCEEFF"/>
            </w:tcBorders>
          </w:tcPr>
          <w:p>
            <w:pPr>
              <w:spacing w:after="0"/>
              <w:rPr>
                <w:sz w:val="18"/>
                <w:szCs w:val="18"/>
                <w:color w:val="auto"/>
              </w:rPr>
            </w:pPr>
          </w:p>
        </w:tc>
        <w:tc>
          <w:tcPr>
            <w:tcW w:w="1120" w:type="dxa"/>
            <w:vAlign w:val="bottom"/>
            <w:tcBorders>
              <w:top w:val="single" w:sz="8" w:color="auto"/>
              <w:bottom w:val="single" w:sz="8" w:color="auto"/>
            </w:tcBorders>
          </w:tcPr>
          <w:p>
            <w:pPr>
              <w:jc w:val="right"/>
              <w:spacing w:after="0" w:line="203" w:lineRule="exact"/>
              <w:rPr>
                <w:sz w:val="20"/>
                <w:szCs w:val="20"/>
                <w:color w:val="auto"/>
              </w:rPr>
            </w:pPr>
            <w:r>
              <w:rPr>
                <w:rFonts w:ascii="Times New Roman" w:cs="Times New Roman" w:eastAsia="Times New Roman" w:hAnsi="Times New Roman"/>
                <w:sz w:val="18"/>
                <w:szCs w:val="18"/>
                <w:color w:val="auto"/>
              </w:rPr>
              <w:t>3,937,815</w:t>
            </w:r>
          </w:p>
        </w:tc>
        <w:tc>
          <w:tcPr>
            <w:tcW w:w="20" w:type="dxa"/>
            <w:vAlign w:val="bottom"/>
            <w:tcBorders>
              <w:top w:val="single" w:sz="8" w:color="CCEEFF"/>
              <w:bottom w:val="single" w:sz="8" w:color="auto"/>
            </w:tcBorders>
          </w:tcPr>
          <w:p>
            <w:pPr>
              <w:spacing w:after="0"/>
              <w:rPr>
                <w:sz w:val="18"/>
                <w:szCs w:val="18"/>
                <w:color w:val="auto"/>
              </w:rPr>
            </w:pPr>
          </w:p>
        </w:tc>
        <w:tc>
          <w:tcPr>
            <w:tcW w:w="80" w:type="dxa"/>
            <w:vAlign w:val="bottom"/>
            <w:tcBorders>
              <w:top w:val="single" w:sz="8" w:color="CCEEFF"/>
            </w:tcBorders>
          </w:tcPr>
          <w:p>
            <w:pPr>
              <w:spacing w:after="0"/>
              <w:rPr>
                <w:sz w:val="18"/>
                <w:szCs w:val="18"/>
                <w:color w:val="auto"/>
              </w:rPr>
            </w:pPr>
          </w:p>
        </w:tc>
      </w:tr>
      <w:tr>
        <w:trPr>
          <w:trHeight w:val="21"/>
        </w:trPr>
        <w:tc>
          <w:tcPr>
            <w:tcW w:w="868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194"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Management’s Discussion and Analysis of Results of Operations and Liquidity and Capital Resources</w:t>
      </w:r>
    </w:p>
    <w:p>
      <w:pPr>
        <w:spacing w:after="0" w:line="225" w:lineRule="exact"/>
        <w:rPr>
          <w:sz w:val="20"/>
          <w:szCs w:val="20"/>
          <w:color w:val="auto"/>
        </w:rPr>
      </w:pPr>
    </w:p>
    <w:p>
      <w:pPr>
        <w:ind w:left="660" w:right="20" w:hanging="328"/>
        <w:spacing w:after="0" w:line="286" w:lineRule="auto"/>
        <w:tabs>
          <w:tab w:leader="none" w:pos="660" w:val="left"/>
        </w:tabs>
        <w:numPr>
          <w:ilvl w:val="0"/>
          <w:numId w:val="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b w:val="1"/>
          <w:bCs w:val="1"/>
          <w:color w:val="auto"/>
        </w:rPr>
        <w:t>Delivers Strong First Half 2025 Results</w:t>
      </w:r>
      <w:r>
        <w:rPr>
          <w:rFonts w:ascii="Times New Roman" w:cs="Times New Roman" w:eastAsia="Times New Roman" w:hAnsi="Times New Roman"/>
          <w:sz w:val="18"/>
          <w:szCs w:val="18"/>
          <w:color w:val="auto"/>
        </w:rPr>
        <w:t>: Revenue growth by 19.3% and Adjusted EBITDA growth by 40.3% compared to the same period in</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2024</w:t>
      </w:r>
    </w:p>
    <w:p>
      <w:pPr>
        <w:spacing w:after="0" w:line="154" w:lineRule="exact"/>
        <w:rPr>
          <w:rFonts w:ascii="Times New Roman" w:cs="Times New Roman" w:eastAsia="Times New Roman" w:hAnsi="Times New Roman"/>
          <w:sz w:val="18"/>
          <w:szCs w:val="18"/>
          <w:color w:val="auto"/>
        </w:rPr>
      </w:pPr>
    </w:p>
    <w:p>
      <w:pPr>
        <w:ind w:left="660" w:hanging="328"/>
        <w:spacing w:after="0" w:line="286" w:lineRule="auto"/>
        <w:tabs>
          <w:tab w:leader="none" w:pos="660" w:val="left"/>
        </w:tabs>
        <w:numPr>
          <w:ilvl w:val="0"/>
          <w:numId w:val="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b w:val="1"/>
          <w:bCs w:val="1"/>
          <w:color w:val="auto"/>
        </w:rPr>
        <w:t xml:space="preserve">Revenue </w:t>
      </w:r>
      <w:r>
        <w:rPr>
          <w:rFonts w:ascii="Times New Roman" w:cs="Times New Roman" w:eastAsia="Times New Roman" w:hAnsi="Times New Roman"/>
          <w:sz w:val="18"/>
          <w:szCs w:val="18"/>
          <w:color w:val="auto"/>
        </w:rPr>
        <w:t>was approximately US$22.7 million for the six months ended September 30, 2025, representing a strong growth of approximately 19.3%</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from the same period in 2024 on robust customer demand.</w:t>
      </w:r>
    </w:p>
    <w:p>
      <w:pPr>
        <w:spacing w:after="0" w:line="154" w:lineRule="exact"/>
        <w:rPr>
          <w:rFonts w:ascii="Times New Roman" w:cs="Times New Roman" w:eastAsia="Times New Roman" w:hAnsi="Times New Roman"/>
          <w:sz w:val="18"/>
          <w:szCs w:val="18"/>
          <w:color w:val="auto"/>
        </w:rPr>
      </w:pPr>
    </w:p>
    <w:p>
      <w:pPr>
        <w:ind w:left="660" w:hanging="328"/>
        <w:spacing w:after="0" w:line="286" w:lineRule="auto"/>
        <w:tabs>
          <w:tab w:leader="none" w:pos="660" w:val="left"/>
        </w:tabs>
        <w:numPr>
          <w:ilvl w:val="0"/>
          <w:numId w:val="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b w:val="1"/>
          <w:bCs w:val="1"/>
          <w:color w:val="auto"/>
        </w:rPr>
        <w:t xml:space="preserve">Adjusted EBITDA </w:t>
      </w:r>
      <w:r>
        <w:rPr>
          <w:rFonts w:ascii="Times New Roman" w:cs="Times New Roman" w:eastAsia="Times New Roman" w:hAnsi="Times New Roman"/>
          <w:sz w:val="18"/>
          <w:szCs w:val="18"/>
          <w:color w:val="auto"/>
        </w:rPr>
        <w:t>was approximately US$3.9 million for the six months ended September 30, 2025, achieving 40.3% growth with the same</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period in 2024 (2024: approximately US$2.8 million).</w:t>
      </w:r>
    </w:p>
    <w:p>
      <w:pPr>
        <w:spacing w:after="0" w:line="375"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color w:val="auto"/>
        </w:rPr>
        <w:t>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1714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ectPr>
          <w:pgSz w:w="11900" w:h="16838" w:orient="portrait"/>
          <w:cols w:equalWidth="0" w:num="1">
            <w:col w:w="11240"/>
          </w:cols>
          <w:pgMar w:left="320" w:top="333" w:right="339" w:bottom="1440" w:gutter="0" w:footer="0" w:header="0"/>
        </w:sectPr>
      </w:pPr>
    </w:p>
    <w:bookmarkStart w:id="5" w:name="page6"/>
    <w:bookmarkEnd w:id="5"/>
    <w:p>
      <w:pPr>
        <w:spacing w:after="0"/>
        <w:rPr>
          <w:sz w:val="20"/>
          <w:szCs w:val="20"/>
          <w:color w:val="auto"/>
        </w:rPr>
      </w:pPr>
      <w:r>
        <w:rPr>
          <w:rFonts w:ascii="Times New Roman" w:cs="Times New Roman" w:eastAsia="Times New Roman" w:hAnsi="Times New Roman"/>
          <w:sz w:val="18"/>
          <w:szCs w:val="18"/>
          <w:b w:val="1"/>
          <w:bCs w:val="1"/>
          <w:color w:val="auto"/>
        </w:rPr>
        <w:t>Six-Month Financial Results Ended September 30, 2025</w:t>
      </w:r>
    </w:p>
    <w:p>
      <w:pPr>
        <w:spacing w:after="0" w:line="225" w:lineRule="exact"/>
        <w:rPr>
          <w:sz w:val="20"/>
          <w:szCs w:val="20"/>
          <w:color w:val="auto"/>
        </w:rPr>
      </w:pPr>
    </w:p>
    <w:p>
      <w:pPr>
        <w:jc w:val="both"/>
        <w:spacing w:after="0" w:line="268" w:lineRule="auto"/>
        <w:rPr>
          <w:sz w:val="20"/>
          <w:szCs w:val="20"/>
          <w:color w:val="auto"/>
        </w:rPr>
      </w:pPr>
      <w:r>
        <w:rPr>
          <w:rFonts w:ascii="Times New Roman" w:cs="Times New Roman" w:eastAsia="Times New Roman" w:hAnsi="Times New Roman"/>
          <w:sz w:val="18"/>
          <w:szCs w:val="18"/>
          <w:b w:val="1"/>
          <w:bCs w:val="1"/>
          <w:color w:val="auto"/>
        </w:rPr>
        <w:t xml:space="preserve">Revenue. </w:t>
      </w:r>
      <w:r>
        <w:rPr>
          <w:rFonts w:ascii="Times New Roman" w:cs="Times New Roman" w:eastAsia="Times New Roman" w:hAnsi="Times New Roman"/>
          <w:sz w:val="18"/>
          <w:szCs w:val="18"/>
          <w:color w:val="auto"/>
        </w:rPr>
        <w:t>Revenue increased by approximately 19.3% from approximately US$19.0 million for the six months ended September 30, 2024, to</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approximately US$22.7 million for the six months ended September 30, 2025. The growth in revenue during the six-month period ended September 30, 2025 was driven by stronger demand from key customers.</w:t>
      </w:r>
    </w:p>
    <w:p>
      <w:pPr>
        <w:spacing w:after="0" w:line="171" w:lineRule="exact"/>
        <w:rPr>
          <w:sz w:val="20"/>
          <w:szCs w:val="20"/>
          <w:color w:val="auto"/>
        </w:rPr>
      </w:pPr>
    </w:p>
    <w:p>
      <w:pPr>
        <w:jc w:val="both"/>
        <w:ind w:right="20"/>
        <w:spacing w:after="0" w:line="268" w:lineRule="auto"/>
        <w:rPr>
          <w:sz w:val="20"/>
          <w:szCs w:val="20"/>
          <w:color w:val="auto"/>
        </w:rPr>
      </w:pPr>
      <w:r>
        <w:rPr>
          <w:rFonts w:ascii="Times New Roman" w:cs="Times New Roman" w:eastAsia="Times New Roman" w:hAnsi="Times New Roman"/>
          <w:sz w:val="18"/>
          <w:szCs w:val="18"/>
          <w:b w:val="1"/>
          <w:bCs w:val="1"/>
          <w:color w:val="auto"/>
        </w:rPr>
        <w:t xml:space="preserve">Selling, general and administrative expenses. </w:t>
      </w:r>
      <w:r>
        <w:rPr>
          <w:rFonts w:ascii="Times New Roman" w:cs="Times New Roman" w:eastAsia="Times New Roman" w:hAnsi="Times New Roman"/>
          <w:sz w:val="18"/>
          <w:szCs w:val="18"/>
          <w:color w:val="auto"/>
        </w:rPr>
        <w:t>Selling, general and administrative expenses increased by approximately 59.5% from approximately</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US$2.9 million for the six months ended September 30, 2024, to approximately US$4.6 million for the six months ended September 30, 2025, which was mainly due to share-based awards recognized in respect of awards granted to five members.</w:t>
      </w:r>
    </w:p>
    <w:p>
      <w:pPr>
        <w:spacing w:after="0" w:line="171" w:lineRule="exact"/>
        <w:rPr>
          <w:sz w:val="20"/>
          <w:szCs w:val="20"/>
          <w:color w:val="auto"/>
        </w:rPr>
      </w:pPr>
    </w:p>
    <w:p>
      <w:pPr>
        <w:jc w:val="both"/>
        <w:spacing w:after="0" w:line="286" w:lineRule="auto"/>
        <w:rPr>
          <w:sz w:val="20"/>
          <w:szCs w:val="20"/>
          <w:color w:val="auto"/>
        </w:rPr>
      </w:pPr>
      <w:r>
        <w:rPr>
          <w:rFonts w:ascii="Times New Roman" w:cs="Times New Roman" w:eastAsia="Times New Roman" w:hAnsi="Times New Roman"/>
          <w:sz w:val="18"/>
          <w:szCs w:val="18"/>
          <w:b w:val="1"/>
          <w:bCs w:val="1"/>
          <w:color w:val="auto"/>
        </w:rPr>
        <w:t xml:space="preserve">Other income, net. </w:t>
      </w:r>
      <w:r>
        <w:rPr>
          <w:rFonts w:ascii="Times New Roman" w:cs="Times New Roman" w:eastAsia="Times New Roman" w:hAnsi="Times New Roman"/>
          <w:sz w:val="18"/>
          <w:szCs w:val="18"/>
          <w:color w:val="auto"/>
        </w:rPr>
        <w:t>Other net income increased by approximately US$0.1 million from approximately US$0.4 million for the six months ended September</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30, 2024, to approximately US$0.5 million for the six months ended September 30, 2025, which was mainly due to an increase in interest income.</w:t>
      </w:r>
    </w:p>
    <w:p>
      <w:pPr>
        <w:spacing w:after="0" w:line="155" w:lineRule="exact"/>
        <w:rPr>
          <w:sz w:val="20"/>
          <w:szCs w:val="20"/>
          <w:color w:val="auto"/>
        </w:rPr>
      </w:pPr>
    </w:p>
    <w:p>
      <w:pPr>
        <w:jc w:val="both"/>
        <w:spacing w:after="0" w:line="286" w:lineRule="auto"/>
        <w:rPr>
          <w:sz w:val="20"/>
          <w:szCs w:val="20"/>
          <w:color w:val="auto"/>
        </w:rPr>
      </w:pPr>
      <w:r>
        <w:rPr>
          <w:rFonts w:ascii="Times New Roman" w:cs="Times New Roman" w:eastAsia="Times New Roman" w:hAnsi="Times New Roman"/>
          <w:sz w:val="18"/>
          <w:szCs w:val="18"/>
          <w:b w:val="1"/>
          <w:bCs w:val="1"/>
          <w:color w:val="auto"/>
        </w:rPr>
        <w:t xml:space="preserve">Income tax expense. </w:t>
      </w:r>
      <w:r>
        <w:rPr>
          <w:rFonts w:ascii="Times New Roman" w:cs="Times New Roman" w:eastAsia="Times New Roman" w:hAnsi="Times New Roman"/>
          <w:sz w:val="18"/>
          <w:szCs w:val="18"/>
          <w:color w:val="auto"/>
        </w:rPr>
        <w:t>Income tax expense increased to US$0.7 million for the six months ended September 30, 2025 (for the six months ended September</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30, 2024: approximately US$0.5 million) which was mainly due to the increase in income before tax in the current period.</w:t>
      </w:r>
    </w:p>
    <w:p>
      <w:pPr>
        <w:spacing w:after="0" w:line="15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 xml:space="preserve">Net income. </w:t>
      </w:r>
      <w:r>
        <w:rPr>
          <w:rFonts w:ascii="Times New Roman" w:cs="Times New Roman" w:eastAsia="Times New Roman" w:hAnsi="Times New Roman"/>
          <w:sz w:val="18"/>
          <w:szCs w:val="18"/>
          <w:color w:val="auto"/>
        </w:rPr>
        <w:t>For the six months ended September 30, 2025, net income was approximately US$2.3 million, consistent with the prior year period (2024:</w:t>
      </w:r>
    </w:p>
    <w:p>
      <w:pPr>
        <w:spacing w:after="0" w:line="3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approximately US$2.3 million).</w:t>
      </w:r>
    </w:p>
    <w:p>
      <w:pPr>
        <w:spacing w:after="0" w:line="203" w:lineRule="exact"/>
        <w:rPr>
          <w:sz w:val="20"/>
          <w:szCs w:val="20"/>
          <w:color w:val="auto"/>
        </w:rPr>
      </w:pPr>
    </w:p>
    <w:p>
      <w:pPr>
        <w:jc w:val="both"/>
        <w:ind w:right="20"/>
        <w:spacing w:after="0" w:line="286" w:lineRule="auto"/>
        <w:rPr>
          <w:sz w:val="20"/>
          <w:szCs w:val="20"/>
          <w:color w:val="auto"/>
        </w:rPr>
      </w:pPr>
      <w:r>
        <w:rPr>
          <w:rFonts w:ascii="Times New Roman" w:cs="Times New Roman" w:eastAsia="Times New Roman" w:hAnsi="Times New Roman"/>
          <w:sz w:val="18"/>
          <w:szCs w:val="18"/>
          <w:b w:val="1"/>
          <w:bCs w:val="1"/>
          <w:color w:val="auto"/>
        </w:rPr>
        <w:t xml:space="preserve">Basic and diluted EPS. </w:t>
      </w:r>
      <w:r>
        <w:rPr>
          <w:rFonts w:ascii="Times New Roman" w:cs="Times New Roman" w:eastAsia="Times New Roman" w:hAnsi="Times New Roman"/>
          <w:sz w:val="18"/>
          <w:szCs w:val="18"/>
          <w:color w:val="auto"/>
        </w:rPr>
        <w:t>Basic and diluted EPS were approximately US$0.62 per ordinary share for the six months ended September 30, 2025, as compared</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to US$0.74 per ordinary share for the six months ended September 30, 2024, respectively.</w:t>
      </w:r>
    </w:p>
    <w:p>
      <w:pPr>
        <w:spacing w:after="0" w:line="15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Liquidity and Capital Resources</w:t>
      </w:r>
    </w:p>
    <w:p>
      <w:pPr>
        <w:spacing w:after="0" w:line="229"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As of September 30, 2025, the Company had cash of US$11,358,839, total current assets of US$20,371,822, and total current liabilities of US$7,289,739. Net current assets were US$13,082,083 and the working capital ratio was 2.8. As of September 30, 2025, the Company’s total assets and total liabilities amounted to US$25,663,983 and US$8,625,254, respectively. As of September 30, 2025, the Company’s total stockholder’s equity amounted to US$17,038,729 and its gearing ratio (bank loan divided by stockholder’s equity) was 6.2%.</w:t>
      </w:r>
    </w:p>
    <w:p>
      <w:pPr>
        <w:spacing w:after="0" w:line="176"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Off-Balance Sheet Arrangements</w:t>
      </w:r>
    </w:p>
    <w:p>
      <w:pPr>
        <w:spacing w:after="0" w:line="229"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The Company does not have any off-balance sheet arrangements, including arrangements that would affect its liquidity, capital resources, market risk support, credit risk support, or other benefits.</w:t>
      </w:r>
    </w:p>
    <w:p>
      <w:pPr>
        <w:spacing w:after="0" w:line="378"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1714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ectPr>
          <w:pgSz w:w="11900" w:h="16838" w:orient="portrait"/>
          <w:cols w:equalWidth="0" w:num="1">
            <w:col w:w="11240"/>
          </w:cols>
          <w:pgMar w:left="320" w:top="333" w:right="339" w:bottom="1440" w:gutter="0" w:footer="0" w:header="0"/>
        </w:sectPr>
      </w:pPr>
    </w:p>
    <w:bookmarkStart w:id="6" w:name="page7"/>
    <w:bookmarkEnd w:id="6"/>
    <w:p>
      <w:pPr>
        <w:jc w:val="right"/>
        <w:ind w:right="3819"/>
        <w:spacing w:after="0"/>
        <w:rPr>
          <w:sz w:val="20"/>
          <w:szCs w:val="20"/>
          <w:color w:val="auto"/>
        </w:rPr>
      </w:pPr>
      <w:r>
        <w:rPr>
          <w:rFonts w:ascii="Times New Roman" w:cs="Times New Roman" w:eastAsia="Times New Roman" w:hAnsi="Times New Roman"/>
          <w:sz w:val="18"/>
          <w:szCs w:val="18"/>
          <w:b w:val="1"/>
          <w:bCs w:val="1"/>
          <w:color w:val="auto"/>
        </w:rPr>
        <w:t>EXHIBIT INDEX</w:t>
      </w:r>
    </w:p>
    <w:p>
      <w:pPr>
        <w:spacing w:after="0" w:line="225" w:lineRule="exact"/>
        <w:rPr>
          <w:sz w:val="20"/>
          <w:szCs w:val="20"/>
          <w:color w:val="auto"/>
        </w:rPr>
      </w:pPr>
    </w:p>
    <w:p>
      <w:pPr>
        <w:spacing w:after="0"/>
        <w:tabs>
          <w:tab w:leader="none" w:pos="1120" w:val="left"/>
        </w:tabs>
        <w:rPr>
          <w:sz w:val="20"/>
          <w:szCs w:val="20"/>
          <w:color w:val="auto"/>
        </w:rPr>
      </w:pPr>
      <w:r>
        <w:rPr>
          <w:rFonts w:ascii="Times New Roman" w:cs="Times New Roman" w:eastAsia="Times New Roman" w:hAnsi="Times New Roman"/>
          <w:sz w:val="18"/>
          <w:szCs w:val="18"/>
          <w:b w:val="1"/>
          <w:bCs w:val="1"/>
          <w:color w:val="auto"/>
        </w:rPr>
        <w:t>Exhibit No.</w:t>
        <w:tab/>
        <w:t>Description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19685</wp:posOffset>
            </wp:positionV>
            <wp:extent cx="7132320" cy="15430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7132320" cy="154305"/>
                    </a:xfrm>
                    <a:prstGeom prst="rect">
                      <a:avLst/>
                    </a:prstGeom>
                    <a:noFill/>
                  </pic:spPr>
                </pic:pic>
              </a:graphicData>
            </a:graphic>
          </wp:anchor>
        </w:drawing>
      </w:r>
    </w:p>
    <w:p>
      <w:pPr>
        <w:spacing w:after="0" w:line="20" w:lineRule="exact"/>
        <w:rPr>
          <w:sz w:val="20"/>
          <w:szCs w:val="20"/>
          <w:color w:val="auto"/>
        </w:rPr>
      </w:pPr>
    </w:p>
    <w:p>
      <w:pPr>
        <w:spacing w:after="0"/>
        <w:tabs>
          <w:tab w:leader="none" w:pos="1120" w:val="left"/>
        </w:tabs>
        <w:rPr>
          <w:sz w:val="20"/>
          <w:szCs w:val="20"/>
          <w:color w:val="auto"/>
        </w:rPr>
      </w:pPr>
      <w:r>
        <w:rPr>
          <w:rFonts w:ascii="Times New Roman" w:cs="Times New Roman" w:eastAsia="Times New Roman" w:hAnsi="Times New Roman"/>
          <w:sz w:val="18"/>
          <w:szCs w:val="18"/>
          <w:color w:val="auto"/>
        </w:rPr>
        <w:t>99.1</w:t>
      </w:r>
      <w:r>
        <w:rPr>
          <w:sz w:val="20"/>
          <w:szCs w:val="20"/>
          <w:color w:val="auto"/>
        </w:rPr>
        <w:tab/>
      </w:r>
      <w:r>
        <w:rPr>
          <w:rFonts w:ascii="Times New Roman" w:cs="Times New Roman" w:eastAsia="Times New Roman" w:hAnsi="Times New Roman"/>
          <w:sz w:val="17"/>
          <w:szCs w:val="17"/>
          <w:u w:val="single" w:color="auto"/>
          <w:color w:val="0000EE"/>
        </w:rPr>
        <w:t>Press Release, dated December 23, 2025</w:t>
      </w:r>
    </w:p>
    <w:p>
      <w:pPr>
        <w:spacing w:after="0" w:line="200" w:lineRule="exact"/>
        <w:rPr>
          <w:sz w:val="20"/>
          <w:szCs w:val="20"/>
          <w:color w:val="auto"/>
        </w:rPr>
      </w:pPr>
    </w:p>
    <w:p>
      <w:pPr>
        <w:spacing w:after="0" w:line="241" w:lineRule="exact"/>
        <w:rPr>
          <w:sz w:val="20"/>
          <w:szCs w:val="20"/>
          <w:color w:val="auto"/>
        </w:rPr>
      </w:pPr>
    </w:p>
    <w:p>
      <w:pPr>
        <w:ind w:left="5580"/>
        <w:spacing w:after="0"/>
        <w:rPr>
          <w:sz w:val="20"/>
          <w:szCs w:val="20"/>
          <w:color w:val="auto"/>
        </w:rPr>
      </w:pPr>
      <w:r>
        <w:rPr>
          <w:rFonts w:ascii="Times New Roman" w:cs="Times New Roman" w:eastAsia="Times New Roman" w:hAnsi="Times New Roman"/>
          <w:sz w:val="18"/>
          <w:szCs w:val="18"/>
          <w:color w:val="auto"/>
        </w:rPr>
        <w:t>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1714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ectPr>
          <w:pgSz w:w="11900" w:h="16838" w:orient="portrait"/>
          <w:cols w:equalWidth="0" w:num="1">
            <w:col w:w="10139"/>
          </w:cols>
          <w:pgMar w:left="320" w:top="333" w:right="1440" w:bottom="1440" w:gutter="0" w:footer="0" w:header="0"/>
        </w:sectPr>
      </w:pPr>
    </w:p>
    <w:bookmarkStart w:id="7" w:name="page8"/>
    <w:bookmarkEnd w:id="7"/>
    <w:p>
      <w:pPr>
        <w:jc w:val="center"/>
        <w:spacing w:after="0"/>
        <w:rPr>
          <w:sz w:val="20"/>
          <w:szCs w:val="20"/>
          <w:color w:val="auto"/>
        </w:rPr>
      </w:pPr>
      <w:r>
        <w:rPr>
          <w:rFonts w:ascii="Times New Roman" w:cs="Times New Roman" w:eastAsia="Times New Roman" w:hAnsi="Times New Roman"/>
          <w:sz w:val="18"/>
          <w:szCs w:val="18"/>
          <w:b w:val="1"/>
          <w:bCs w:val="1"/>
          <w:u w:val="single" w:color="auto"/>
          <w:color w:val="auto"/>
        </w:rPr>
        <w:t>SIGNATURE</w:t>
      </w:r>
    </w:p>
    <w:p>
      <w:pPr>
        <w:spacing w:after="0" w:line="229" w:lineRule="exact"/>
        <w:rPr>
          <w:sz w:val="20"/>
          <w:szCs w:val="20"/>
          <w:color w:val="auto"/>
        </w:rPr>
      </w:pPr>
    </w:p>
    <w:p>
      <w:pPr>
        <w:spacing w:after="0" w:line="282" w:lineRule="auto"/>
        <w:rPr>
          <w:sz w:val="20"/>
          <w:szCs w:val="20"/>
          <w:color w:val="auto"/>
        </w:rPr>
      </w:pPr>
      <w:r>
        <w:rPr>
          <w:rFonts w:ascii="Times New Roman" w:cs="Times New Roman" w:eastAsia="Times New Roman" w:hAnsi="Times New Roman"/>
          <w:sz w:val="18"/>
          <w:szCs w:val="18"/>
          <w:color w:val="auto"/>
        </w:rPr>
        <w:t>Pursuant to the requirements of the Securities Exchange Act of 1934, the registrant has duly caused this report to be signed on its behalf by the undersigned, thereunto duly authorized.</w:t>
      </w:r>
    </w:p>
    <w:p>
      <w:pPr>
        <w:spacing w:after="0" w:line="158" w:lineRule="exact"/>
        <w:rPr>
          <w:sz w:val="20"/>
          <w:szCs w:val="20"/>
          <w:color w:val="auto"/>
        </w:rPr>
      </w:pPr>
    </w:p>
    <w:p>
      <w:pPr>
        <w:ind w:left="6760"/>
        <w:spacing w:after="0"/>
        <w:rPr>
          <w:sz w:val="20"/>
          <w:szCs w:val="20"/>
          <w:color w:val="auto"/>
        </w:rPr>
      </w:pPr>
      <w:r>
        <w:rPr>
          <w:rFonts w:ascii="Times New Roman" w:cs="Times New Roman" w:eastAsia="Times New Roman" w:hAnsi="Times New Roman"/>
          <w:sz w:val="18"/>
          <w:szCs w:val="18"/>
          <w:b w:val="1"/>
          <w:bCs w:val="1"/>
          <w:color w:val="auto"/>
        </w:rPr>
        <w:t>J-LONG GROUP LIMITED</w:t>
      </w:r>
    </w:p>
    <w:p>
      <w:pPr>
        <w:spacing w:after="0" w:line="227" w:lineRule="exact"/>
        <w:rPr>
          <w:sz w:val="20"/>
          <w:szCs w:val="20"/>
          <w:color w:val="auto"/>
        </w:rPr>
      </w:pPr>
    </w:p>
    <w:p>
      <w:pPr>
        <w:ind w:left="6760"/>
        <w:spacing w:after="0"/>
        <w:tabs>
          <w:tab w:leader="none" w:pos="7300" w:val="left"/>
        </w:tabs>
        <w:rPr>
          <w:sz w:val="20"/>
          <w:szCs w:val="20"/>
          <w:color w:val="auto"/>
        </w:rPr>
      </w:pPr>
      <w:r>
        <w:rPr>
          <w:rFonts w:ascii="Times New Roman" w:cs="Times New Roman" w:eastAsia="Times New Roman" w:hAnsi="Times New Roman"/>
          <w:sz w:val="18"/>
          <w:szCs w:val="18"/>
          <w:color w:val="auto"/>
        </w:rPr>
        <w:t>By:</w:t>
      </w:r>
      <w:r>
        <w:rPr>
          <w:sz w:val="20"/>
          <w:szCs w:val="20"/>
          <w:color w:val="auto"/>
        </w:rPr>
        <w:tab/>
      </w:r>
      <w:r>
        <w:rPr>
          <w:rFonts w:ascii="Times New Roman" w:cs="Times New Roman" w:eastAsia="Times New Roman" w:hAnsi="Times New Roman"/>
          <w:sz w:val="18"/>
          <w:szCs w:val="18"/>
          <w:i w:val="1"/>
          <w:iCs w:val="1"/>
          <w:color w:val="auto"/>
        </w:rPr>
        <w:t>/s/ Edwin Chun Yin Wong</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4642485</wp:posOffset>
            </wp:positionH>
            <wp:positionV relativeFrom="paragraph">
              <wp:posOffset>18415</wp:posOffset>
            </wp:positionV>
            <wp:extent cx="2494280" cy="1714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2494280" cy="17145"/>
                    </a:xfrm>
                    <a:prstGeom prst="rect">
                      <a:avLst/>
                    </a:prstGeom>
                    <a:noFill/>
                  </pic:spPr>
                </pic:pic>
              </a:graphicData>
            </a:graphic>
          </wp:anchor>
        </w:drawing>
      </w:r>
    </w:p>
    <w:p>
      <w:pPr>
        <w:spacing w:after="0" w:line="9" w:lineRule="exact"/>
        <w:rPr>
          <w:sz w:val="20"/>
          <w:szCs w:val="20"/>
          <w:color w:val="auto"/>
        </w:rPr>
      </w:pPr>
    </w:p>
    <w:p>
      <w:pPr>
        <w:ind w:left="6760"/>
        <w:spacing w:after="0"/>
        <w:rPr>
          <w:sz w:val="20"/>
          <w:szCs w:val="20"/>
          <w:color w:val="auto"/>
        </w:rPr>
      </w:pPr>
      <w:r>
        <w:rPr>
          <w:rFonts w:ascii="Times New Roman" w:cs="Times New Roman" w:eastAsia="Times New Roman" w:hAnsi="Times New Roman"/>
          <w:sz w:val="18"/>
          <w:szCs w:val="18"/>
          <w:color w:val="auto"/>
        </w:rPr>
        <w:t>Name: Edwin Chun Yin Wong</w:t>
      </w:r>
    </w:p>
    <w:p>
      <w:pPr>
        <w:spacing w:after="0" w:line="36" w:lineRule="exact"/>
        <w:rPr>
          <w:sz w:val="20"/>
          <w:szCs w:val="20"/>
          <w:color w:val="auto"/>
        </w:rPr>
      </w:pPr>
    </w:p>
    <w:p>
      <w:pPr>
        <w:ind w:left="6760"/>
        <w:spacing w:after="0"/>
        <w:tabs>
          <w:tab w:leader="none" w:pos="7300" w:val="left"/>
        </w:tabs>
        <w:rPr>
          <w:sz w:val="20"/>
          <w:szCs w:val="20"/>
          <w:color w:val="auto"/>
        </w:rPr>
      </w:pPr>
      <w:r>
        <w:rPr>
          <w:rFonts w:ascii="Times New Roman" w:cs="Times New Roman" w:eastAsia="Times New Roman" w:hAnsi="Times New Roman"/>
          <w:sz w:val="18"/>
          <w:szCs w:val="18"/>
          <w:color w:val="auto"/>
        </w:rPr>
        <w:t>Title:</w:t>
      </w:r>
      <w:r>
        <w:rPr>
          <w:sz w:val="20"/>
          <w:szCs w:val="20"/>
          <w:color w:val="auto"/>
        </w:rPr>
        <w:tab/>
      </w:r>
      <w:r>
        <w:rPr>
          <w:rFonts w:ascii="Times New Roman" w:cs="Times New Roman" w:eastAsia="Times New Roman" w:hAnsi="Times New Roman"/>
          <w:sz w:val="17"/>
          <w:szCs w:val="17"/>
          <w:color w:val="auto"/>
        </w:rPr>
        <w:t>Chief Executive Officer and Director</w:t>
      </w:r>
    </w:p>
    <w:p>
      <w:pPr>
        <w:spacing w:after="0" w:line="207"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Date: December 23, 2025</w:t>
      </w:r>
    </w:p>
    <w:p>
      <w:pPr>
        <w:spacing w:after="0" w:line="200" w:lineRule="exact"/>
        <w:rPr>
          <w:sz w:val="20"/>
          <w:szCs w:val="20"/>
          <w:color w:val="auto"/>
        </w:rPr>
      </w:pPr>
    </w:p>
    <w:p>
      <w:pPr>
        <w:spacing w:after="0" w:line="241"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color w:val="auto"/>
        </w:rPr>
        <w:t>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1714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ectPr>
          <w:pgSz w:w="11900" w:h="16838" w:orient="portrait"/>
          <w:cols w:equalWidth="0" w:num="1">
            <w:col w:w="11240"/>
          </w:cols>
          <w:pgMar w:left="320" w:top="333" w:right="339" w:bottom="1440" w:gutter="0" w:footer="0" w:header="0"/>
        </w:sectPr>
      </w:pPr>
    </w:p>
    <w:bookmarkStart w:id="8" w:name="page9"/>
    <w:bookmarkEnd w:id="8"/>
    <w:p>
      <w:pPr>
        <w:jc w:val="right"/>
        <w:spacing w:after="0"/>
        <w:rPr>
          <w:sz w:val="20"/>
          <w:szCs w:val="20"/>
          <w:color w:val="auto"/>
        </w:rPr>
      </w:pPr>
      <w:r>
        <w:rPr>
          <w:rFonts w:ascii="Times New Roman" w:cs="Times New Roman" w:eastAsia="Times New Roman" w:hAnsi="Times New Roman"/>
          <w:sz w:val="18"/>
          <w:szCs w:val="18"/>
          <w:b w:val="1"/>
          <w:bCs w:val="1"/>
          <w:color w:val="auto"/>
        </w:rPr>
        <w:t>Exhibit 99.1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156845</wp:posOffset>
            </wp:positionV>
            <wp:extent cx="2125980" cy="48006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extLst>
                    </a:blip>
                    <a:srcRect/>
                    <a:stretch>
                      <a:fillRect/>
                    </a:stretch>
                  </pic:blipFill>
                  <pic:spPr bwMode="auto">
                    <a:xfrm>
                      <a:off x="0" y="0"/>
                      <a:ext cx="2125980" cy="48006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7"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J-Long Group Limited Announces First Half 2025 Unaudited Financial Results</w:t>
      </w:r>
    </w:p>
    <w:p>
      <w:pPr>
        <w:spacing w:after="0" w:line="225" w:lineRule="exact"/>
        <w:rPr>
          <w:sz w:val="20"/>
          <w:szCs w:val="20"/>
          <w:color w:val="auto"/>
        </w:rPr>
      </w:pPr>
    </w:p>
    <w:p>
      <w:pPr>
        <w:jc w:val="both"/>
        <w:spacing w:after="0" w:line="268" w:lineRule="auto"/>
        <w:rPr>
          <w:sz w:val="20"/>
          <w:szCs w:val="20"/>
          <w:color w:val="auto"/>
        </w:rPr>
      </w:pPr>
      <w:r>
        <w:rPr>
          <w:rFonts w:ascii="Times New Roman" w:cs="Times New Roman" w:eastAsia="Times New Roman" w:hAnsi="Times New Roman"/>
          <w:sz w:val="18"/>
          <w:szCs w:val="18"/>
          <w:color w:val="auto"/>
        </w:rPr>
        <w:t xml:space="preserve">HONG KONG, December 23, 2025 (GLOBE NEWSWIRE) -- </w:t>
      </w:r>
      <w:r>
        <w:rPr>
          <w:rFonts w:ascii="Times New Roman" w:cs="Times New Roman" w:eastAsia="Times New Roman" w:hAnsi="Times New Roman"/>
          <w:sz w:val="18"/>
          <w:szCs w:val="18"/>
          <w:b w:val="1"/>
          <w:bCs w:val="1"/>
          <w:color w:val="auto"/>
        </w:rPr>
        <w:t>J-Long Group Limited (“JL” or the “Company”) (NASDAQ: JL), JL conducts its</w:t>
      </w:r>
      <w:r>
        <w:rPr>
          <w:rFonts w:ascii="Times New Roman" w:cs="Times New Roman" w:eastAsia="Times New Roman" w:hAnsi="Times New Roman"/>
          <w:sz w:val="18"/>
          <w:szCs w:val="18"/>
          <w:color w:val="auto"/>
        </w:rPr>
        <w:t xml:space="preserve"> </w:t>
      </w:r>
      <w:r>
        <w:rPr>
          <w:rFonts w:ascii="Times New Roman" w:cs="Times New Roman" w:eastAsia="Times New Roman" w:hAnsi="Times New Roman"/>
          <w:sz w:val="18"/>
          <w:szCs w:val="18"/>
          <w:b w:val="1"/>
          <w:bCs w:val="1"/>
          <w:color w:val="auto"/>
        </w:rPr>
        <w:t>primary operations of apparel trims solution services in Hong Kong, today announced its unaudited financial results for the six months ended September 30, 2025.</w:t>
      </w:r>
    </w:p>
    <w:p>
      <w:pPr>
        <w:spacing w:after="0" w:line="17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Overview:</w:t>
      </w:r>
    </w:p>
    <w:p>
      <w:pPr>
        <w:spacing w:after="0" w:line="225" w:lineRule="exact"/>
        <w:rPr>
          <w:sz w:val="20"/>
          <w:szCs w:val="20"/>
          <w:color w:val="auto"/>
        </w:rPr>
      </w:pPr>
    </w:p>
    <w:p>
      <w:pPr>
        <w:ind w:left="660" w:right="20" w:hanging="328"/>
        <w:spacing w:after="0" w:line="286" w:lineRule="auto"/>
        <w:tabs>
          <w:tab w:leader="none" w:pos="660" w:val="left"/>
        </w:tabs>
        <w:numPr>
          <w:ilvl w:val="0"/>
          <w:numId w:val="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b w:val="1"/>
          <w:bCs w:val="1"/>
          <w:color w:val="auto"/>
        </w:rPr>
        <w:t>Delivers Strong First Half 2025 Results</w:t>
      </w:r>
      <w:r>
        <w:rPr>
          <w:rFonts w:ascii="Times New Roman" w:cs="Times New Roman" w:eastAsia="Times New Roman" w:hAnsi="Times New Roman"/>
          <w:sz w:val="18"/>
          <w:szCs w:val="18"/>
          <w:color w:val="auto"/>
        </w:rPr>
        <w:t>: Revenue growth by 19.3% and Adjusted EBITDA growth by 40.3% compared to the same period in</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2024</w:t>
      </w:r>
    </w:p>
    <w:p>
      <w:pPr>
        <w:spacing w:after="0" w:line="154" w:lineRule="exact"/>
        <w:rPr>
          <w:rFonts w:ascii="Times New Roman" w:cs="Times New Roman" w:eastAsia="Times New Roman" w:hAnsi="Times New Roman"/>
          <w:sz w:val="18"/>
          <w:szCs w:val="18"/>
          <w:color w:val="auto"/>
        </w:rPr>
      </w:pPr>
    </w:p>
    <w:p>
      <w:pPr>
        <w:ind w:left="660" w:hanging="328"/>
        <w:spacing w:after="0" w:line="286" w:lineRule="auto"/>
        <w:tabs>
          <w:tab w:leader="none" w:pos="660" w:val="left"/>
        </w:tabs>
        <w:numPr>
          <w:ilvl w:val="0"/>
          <w:numId w:val="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b w:val="1"/>
          <w:bCs w:val="1"/>
          <w:color w:val="auto"/>
        </w:rPr>
        <w:t xml:space="preserve">Revenue </w:t>
      </w:r>
      <w:r>
        <w:rPr>
          <w:rFonts w:ascii="Times New Roman" w:cs="Times New Roman" w:eastAsia="Times New Roman" w:hAnsi="Times New Roman"/>
          <w:sz w:val="18"/>
          <w:szCs w:val="18"/>
          <w:color w:val="auto"/>
        </w:rPr>
        <w:t>was approximately US$22.7 million for the six months ended September 30, 2025, representing a strong growth of approximately 19.3%</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from the same period in 2024 on robust customer demand.</w:t>
      </w:r>
    </w:p>
    <w:p>
      <w:pPr>
        <w:spacing w:after="0" w:line="154" w:lineRule="exact"/>
        <w:rPr>
          <w:rFonts w:ascii="Times New Roman" w:cs="Times New Roman" w:eastAsia="Times New Roman" w:hAnsi="Times New Roman"/>
          <w:sz w:val="18"/>
          <w:szCs w:val="18"/>
          <w:color w:val="auto"/>
        </w:rPr>
      </w:pPr>
    </w:p>
    <w:p>
      <w:pPr>
        <w:ind w:left="660" w:hanging="328"/>
        <w:spacing w:after="0" w:line="286" w:lineRule="auto"/>
        <w:tabs>
          <w:tab w:leader="none" w:pos="660" w:val="left"/>
        </w:tabs>
        <w:numPr>
          <w:ilvl w:val="0"/>
          <w:numId w:val="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b w:val="1"/>
          <w:bCs w:val="1"/>
          <w:color w:val="auto"/>
        </w:rPr>
        <w:t xml:space="preserve">Adjusted EBITDA </w:t>
      </w:r>
      <w:r>
        <w:rPr>
          <w:rFonts w:ascii="Times New Roman" w:cs="Times New Roman" w:eastAsia="Times New Roman" w:hAnsi="Times New Roman"/>
          <w:sz w:val="18"/>
          <w:szCs w:val="18"/>
          <w:color w:val="auto"/>
        </w:rPr>
        <w:t>was approximately US$3.9 million for the six months ended September 30, 2025, achieving 40.3% growth with the same</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period in 2024 (2024: approximately US$2.8 million).</w:t>
      </w:r>
    </w:p>
    <w:p>
      <w:pPr>
        <w:spacing w:after="0" w:line="155" w:lineRule="exact"/>
        <w:rPr>
          <w:sz w:val="20"/>
          <w:szCs w:val="20"/>
          <w:color w:val="auto"/>
        </w:rPr>
      </w:pPr>
    </w:p>
    <w:p>
      <w:pPr>
        <w:jc w:val="both"/>
        <w:spacing w:after="0" w:line="262" w:lineRule="auto"/>
        <w:rPr>
          <w:sz w:val="20"/>
          <w:szCs w:val="20"/>
          <w:color w:val="auto"/>
        </w:rPr>
      </w:pPr>
      <w:r>
        <w:rPr>
          <w:rFonts w:ascii="Times New Roman" w:cs="Times New Roman" w:eastAsia="Times New Roman" w:hAnsi="Times New Roman"/>
          <w:sz w:val="18"/>
          <w:szCs w:val="18"/>
          <w:b w:val="1"/>
          <w:bCs w:val="1"/>
          <w:i w:val="1"/>
          <w:iCs w:val="1"/>
          <w:color w:val="auto"/>
        </w:rPr>
        <w:t>“We are very pleased with our strong first-half results and encouraged by the continuing positive momentum in our business,” said Edwin Chun Yin Wong, Chief Executive Officer. “Driven by robust customer demand and favorable feedback on our recent product developments, along with a healthy pipeline of inquiries, we anticipate continued strong performance through the end of the fiscal year and believe we are well positioned for future revenue growth.”</w:t>
      </w:r>
    </w:p>
    <w:p>
      <w:pPr>
        <w:spacing w:after="0" w:line="176"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Use of Non-GAAP Financial Measure</w:t>
      </w:r>
    </w:p>
    <w:p>
      <w:pPr>
        <w:spacing w:after="0" w:line="229"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We use earnings before interest expenses and income, income tax expense/(benefit) and depreciation, and amortization ("EBlTDA”) and adjusted EBITDA, non-GAAP financial measures, in evaluating our operating results and for financial and operational decision-making purposes. EBlTDA represents net profit excluding income tax expense/(benefit), interest expenses, interest income and depreciation and amortization. Adjusted EBITDA represents net loss excluding changes in share-based awards expense, income tax expense/(benefit), interest expense, interest income and depreciation and amortization.</w:t>
      </w:r>
    </w:p>
    <w:p>
      <w:pPr>
        <w:spacing w:after="0" w:line="180" w:lineRule="exact"/>
        <w:rPr>
          <w:sz w:val="20"/>
          <w:szCs w:val="20"/>
          <w:color w:val="auto"/>
        </w:rPr>
      </w:pPr>
    </w:p>
    <w:p>
      <w:pPr>
        <w:jc w:val="both"/>
        <w:spacing w:after="0" w:line="256" w:lineRule="auto"/>
        <w:rPr>
          <w:sz w:val="20"/>
          <w:szCs w:val="20"/>
          <w:color w:val="auto"/>
        </w:rPr>
      </w:pPr>
      <w:r>
        <w:rPr>
          <w:rFonts w:ascii="Times New Roman" w:cs="Times New Roman" w:eastAsia="Times New Roman" w:hAnsi="Times New Roman"/>
          <w:sz w:val="18"/>
          <w:szCs w:val="18"/>
          <w:color w:val="auto"/>
        </w:rPr>
        <w:t>We believe that the adjusted EBITDA helps to identify underly trends in our business that could otherwise be distorted by the effect of certain expenses that we are included in net loss. We believe that adjusted EBITDA provided useful information about our operating results, enhance the overall understanding of our past performance and future prospect and allow for greater visibility with respect to key metrics used by our management uses in its financial and operational decision making, In additions, the company provides EBITDA because we believe that investors and analysts may find it useful in measuring operating performance without regard to items such as income tax expense/(benefit), interest expenses and interest income and depreciation and amortization.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422275</wp:posOffset>
            </wp:positionV>
            <wp:extent cx="7132320" cy="1714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ectPr>
          <w:pgSz w:w="11900" w:h="16838" w:orient="portrait"/>
          <w:cols w:equalWidth="0" w:num="1">
            <w:col w:w="11240"/>
          </w:cols>
          <w:pgMar w:left="320" w:top="117" w:right="339" w:bottom="1440" w:gutter="0" w:footer="0" w:header="0"/>
        </w:sectPr>
      </w:pPr>
    </w:p>
    <w:bookmarkStart w:id="9" w:name="page10"/>
    <w:bookmarkEnd w:id="9"/>
    <w:p>
      <w:pPr>
        <w:jc w:val="center"/>
        <w:ind w:left="8540"/>
        <w:spacing w:after="0"/>
        <w:rPr>
          <w:sz w:val="20"/>
          <w:szCs w:val="20"/>
          <w:color w:val="auto"/>
        </w:rPr>
      </w:pPr>
      <w:r>
        <w:rPr>
          <w:rFonts w:ascii="Times New Roman" w:cs="Times New Roman" w:eastAsia="Times New Roman" w:hAnsi="Times New Roman"/>
          <w:sz w:val="18"/>
          <w:szCs w:val="18"/>
          <w:b w:val="1"/>
          <w:bCs w:val="1"/>
          <w:color w:val="auto"/>
        </w:rPr>
        <w:t>For the six months ended</w:t>
      </w:r>
    </w:p>
    <w:p>
      <w:pPr>
        <w:spacing w:after="0" w:line="31" w:lineRule="exact"/>
        <w:rPr>
          <w:sz w:val="20"/>
          <w:szCs w:val="20"/>
          <w:color w:val="auto"/>
        </w:rPr>
      </w:pPr>
    </w:p>
    <w:p>
      <w:pPr>
        <w:jc w:val="center"/>
        <w:ind w:left="8540"/>
        <w:spacing w:after="0"/>
        <w:rPr>
          <w:sz w:val="20"/>
          <w:szCs w:val="20"/>
          <w:color w:val="auto"/>
        </w:rPr>
      </w:pPr>
      <w:r>
        <w:rPr>
          <w:rFonts w:ascii="Times New Roman" w:cs="Times New Roman" w:eastAsia="Times New Roman" w:hAnsi="Times New Roman"/>
          <w:sz w:val="18"/>
          <w:szCs w:val="18"/>
          <w:b w:val="1"/>
          <w:bCs w:val="1"/>
          <w:color w:val="auto"/>
        </w:rPr>
        <w:t>September 30,</w:t>
      </w:r>
    </w:p>
    <w:p>
      <w:pPr>
        <w:spacing w:after="0" w:line="9" w:lineRule="exact"/>
        <w:rPr>
          <w:sz w:val="20"/>
          <w:szCs w:val="20"/>
          <w:color w:val="auto"/>
        </w:rPr>
      </w:pPr>
    </w:p>
    <w:tbl>
      <w:tblPr>
        <w:tblLayout w:type="fixed"/>
        <w:tblInd w:w="0" w:type="dxa"/>
        <w:tblCellMar>
          <w:top w:w="0" w:type="dxa"/>
          <w:left w:w="0" w:type="dxa"/>
          <w:bottom w:w="0" w:type="dxa"/>
          <w:right w:w="0" w:type="dxa"/>
        </w:tblCellMar>
      </w:tblPr>
      <w:tr>
        <w:trPr>
          <w:trHeight w:val="243"/>
        </w:trPr>
        <w:tc>
          <w:tcPr>
            <w:tcW w:w="8680" w:type="dxa"/>
            <w:vAlign w:val="bottom"/>
          </w:tcPr>
          <w:p>
            <w:pPr>
              <w:spacing w:after="0"/>
              <w:rPr>
                <w:sz w:val="21"/>
                <w:szCs w:val="21"/>
                <w:color w:val="auto"/>
              </w:rPr>
            </w:pPr>
          </w:p>
        </w:tc>
        <w:tc>
          <w:tcPr>
            <w:tcW w:w="1120" w:type="dxa"/>
            <w:vAlign w:val="bottom"/>
            <w:tcBorders>
              <w:top w:val="single" w:sz="8" w:color="auto"/>
              <w:bottom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2024</w:t>
            </w:r>
          </w:p>
        </w:tc>
        <w:tc>
          <w:tcPr>
            <w:tcW w:w="220" w:type="dxa"/>
            <w:vAlign w:val="bottom"/>
            <w:tcBorders>
              <w:top w:val="single" w:sz="8" w:color="auto"/>
            </w:tcBorders>
          </w:tcPr>
          <w:p>
            <w:pPr>
              <w:spacing w:after="0"/>
              <w:rPr>
                <w:sz w:val="21"/>
                <w:szCs w:val="21"/>
                <w:color w:val="auto"/>
              </w:rPr>
            </w:pPr>
          </w:p>
        </w:tc>
        <w:tc>
          <w:tcPr>
            <w:tcW w:w="1140" w:type="dxa"/>
            <w:vAlign w:val="bottom"/>
            <w:tcBorders>
              <w:top w:val="single" w:sz="8" w:color="auto"/>
              <w:bottom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2025</w:t>
            </w:r>
          </w:p>
        </w:tc>
        <w:tc>
          <w:tcPr>
            <w:tcW w:w="80" w:type="dxa"/>
            <w:vAlign w:val="bottom"/>
          </w:tcPr>
          <w:p>
            <w:pPr>
              <w:spacing w:after="0"/>
              <w:rPr>
                <w:sz w:val="21"/>
                <w:szCs w:val="21"/>
                <w:color w:val="auto"/>
              </w:rPr>
            </w:pPr>
          </w:p>
        </w:tc>
      </w:tr>
      <w:tr>
        <w:trPr>
          <w:trHeight w:val="223"/>
        </w:trPr>
        <w:tc>
          <w:tcPr>
            <w:tcW w:w="8680" w:type="dxa"/>
            <w:vAlign w:val="bottom"/>
          </w:tcPr>
          <w:p>
            <w:pPr>
              <w:spacing w:after="0"/>
              <w:rPr>
                <w:sz w:val="19"/>
                <w:szCs w:val="19"/>
                <w:color w:val="auto"/>
              </w:rPr>
            </w:pPr>
          </w:p>
        </w:tc>
        <w:tc>
          <w:tcPr>
            <w:tcW w:w="112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USD</w:t>
            </w:r>
          </w:p>
        </w:tc>
        <w:tc>
          <w:tcPr>
            <w:tcW w:w="220" w:type="dxa"/>
            <w:vAlign w:val="bottom"/>
          </w:tcPr>
          <w:p>
            <w:pPr>
              <w:spacing w:after="0"/>
              <w:rPr>
                <w:sz w:val="19"/>
                <w:szCs w:val="19"/>
                <w:color w:val="auto"/>
              </w:rPr>
            </w:pPr>
          </w:p>
        </w:tc>
        <w:tc>
          <w:tcPr>
            <w:tcW w:w="114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USD</w:t>
            </w:r>
          </w:p>
        </w:tc>
        <w:tc>
          <w:tcPr>
            <w:tcW w:w="80" w:type="dxa"/>
            <w:vAlign w:val="bottom"/>
          </w:tcPr>
          <w:p>
            <w:pPr>
              <w:spacing w:after="0"/>
              <w:rPr>
                <w:sz w:val="19"/>
                <w:szCs w:val="19"/>
                <w:color w:val="auto"/>
              </w:rPr>
            </w:pPr>
          </w:p>
        </w:tc>
      </w:tr>
      <w:tr>
        <w:trPr>
          <w:trHeight w:val="223"/>
        </w:trPr>
        <w:tc>
          <w:tcPr>
            <w:tcW w:w="8680" w:type="dxa"/>
            <w:vAlign w:val="bottom"/>
            <w:tcBorders>
              <w:bottom w:val="single" w:sz="8" w:color="CCEEFF"/>
            </w:tcBorders>
          </w:tcPr>
          <w:p>
            <w:pPr>
              <w:spacing w:after="0"/>
              <w:rPr>
                <w:sz w:val="19"/>
                <w:szCs w:val="19"/>
                <w:color w:val="auto"/>
              </w:rPr>
            </w:pPr>
          </w:p>
        </w:tc>
        <w:tc>
          <w:tcPr>
            <w:tcW w:w="112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8"/>
              </w:rPr>
              <w:t>(Unaudited)</w:t>
            </w:r>
          </w:p>
        </w:tc>
        <w:tc>
          <w:tcPr>
            <w:tcW w:w="220" w:type="dxa"/>
            <w:vAlign w:val="bottom"/>
            <w:tcBorders>
              <w:bottom w:val="single" w:sz="8" w:color="CCEEFF"/>
            </w:tcBorders>
          </w:tcPr>
          <w:p>
            <w:pPr>
              <w:spacing w:after="0"/>
              <w:rPr>
                <w:sz w:val="19"/>
                <w:szCs w:val="19"/>
                <w:color w:val="auto"/>
              </w:rPr>
            </w:pPr>
          </w:p>
        </w:tc>
        <w:tc>
          <w:tcPr>
            <w:tcW w:w="114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8"/>
              </w:rPr>
              <w:t>(Unaudited)</w:t>
            </w:r>
          </w:p>
        </w:tc>
        <w:tc>
          <w:tcPr>
            <w:tcW w:w="80" w:type="dxa"/>
            <w:vAlign w:val="bottom"/>
            <w:tcBorders>
              <w:bottom w:val="single" w:sz="8" w:color="CCEEFF"/>
            </w:tcBorders>
          </w:tcPr>
          <w:p>
            <w:pPr>
              <w:spacing w:after="0"/>
              <w:rPr>
                <w:sz w:val="19"/>
                <w:szCs w:val="19"/>
                <w:color w:val="auto"/>
              </w:rPr>
            </w:pPr>
          </w:p>
        </w:tc>
      </w:tr>
      <w:tr>
        <w:trPr>
          <w:trHeight w:val="216"/>
        </w:trPr>
        <w:tc>
          <w:tcPr>
            <w:tcW w:w="868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b w:val="1"/>
                <w:bCs w:val="1"/>
                <w:color w:val="auto"/>
              </w:rPr>
              <w:t>Net income attributable to ordinary shareholders</w:t>
            </w:r>
          </w:p>
        </w:tc>
        <w:tc>
          <w:tcPr>
            <w:tcW w:w="11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2,308,377</w:t>
            </w:r>
          </w:p>
        </w:tc>
        <w:tc>
          <w:tcPr>
            <w:tcW w:w="220" w:type="dxa"/>
            <w:vAlign w:val="bottom"/>
            <w:shd w:val="clear" w:color="auto" w:fill="CCEEFF"/>
          </w:tcPr>
          <w:p>
            <w:pPr>
              <w:spacing w:after="0"/>
              <w:rPr>
                <w:sz w:val="18"/>
                <w:szCs w:val="18"/>
                <w:color w:val="auto"/>
              </w:rPr>
            </w:pPr>
          </w:p>
        </w:tc>
        <w:tc>
          <w:tcPr>
            <w:tcW w:w="1140" w:type="dxa"/>
            <w:vAlign w:val="bottom"/>
            <w:tcBorders>
              <w:right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2,302,875</w:t>
            </w:r>
          </w:p>
        </w:tc>
        <w:tc>
          <w:tcPr>
            <w:tcW w:w="80" w:type="dxa"/>
            <w:vAlign w:val="bottom"/>
            <w:shd w:val="clear" w:color="auto" w:fill="CCEEFF"/>
          </w:tcPr>
          <w:p>
            <w:pPr>
              <w:spacing w:after="0"/>
              <w:rPr>
                <w:sz w:val="18"/>
                <w:szCs w:val="18"/>
                <w:color w:val="auto"/>
              </w:rPr>
            </w:pPr>
          </w:p>
        </w:tc>
      </w:tr>
      <w:tr>
        <w:trPr>
          <w:trHeight w:val="216"/>
        </w:trPr>
        <w:tc>
          <w:tcPr>
            <w:tcW w:w="8680" w:type="dxa"/>
            <w:vAlign w:val="bottom"/>
          </w:tcPr>
          <w:p>
            <w:pPr>
              <w:ind w:left="180"/>
              <w:spacing w:after="0"/>
              <w:rPr>
                <w:sz w:val="20"/>
                <w:szCs w:val="20"/>
                <w:color w:val="auto"/>
              </w:rPr>
            </w:pPr>
            <w:r>
              <w:rPr>
                <w:rFonts w:ascii="Times New Roman" w:cs="Times New Roman" w:eastAsia="Times New Roman" w:hAnsi="Times New Roman"/>
                <w:sz w:val="18"/>
                <w:szCs w:val="18"/>
                <w:color w:val="auto"/>
              </w:rPr>
              <w:t>Add:</w:t>
            </w:r>
          </w:p>
        </w:tc>
        <w:tc>
          <w:tcPr>
            <w:tcW w:w="11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8680" w:type="dxa"/>
            <w:vAlign w:val="bottom"/>
            <w:shd w:val="clear" w:color="auto" w:fill="CCEEFF"/>
          </w:tcPr>
          <w:p>
            <w:pPr>
              <w:ind w:left="180"/>
              <w:spacing w:after="0"/>
              <w:rPr>
                <w:sz w:val="20"/>
                <w:szCs w:val="20"/>
                <w:color w:val="auto"/>
              </w:rPr>
            </w:pPr>
            <w:r>
              <w:rPr>
                <w:rFonts w:ascii="Times New Roman" w:cs="Times New Roman" w:eastAsia="Times New Roman" w:hAnsi="Times New Roman"/>
                <w:sz w:val="18"/>
                <w:szCs w:val="18"/>
                <w:color w:val="auto"/>
              </w:rPr>
              <w:t>Income tax expense</w:t>
            </w:r>
          </w:p>
        </w:tc>
        <w:tc>
          <w:tcPr>
            <w:tcW w:w="13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471,820</w:t>
            </w:r>
          </w:p>
        </w:tc>
        <w:tc>
          <w:tcPr>
            <w:tcW w:w="1140" w:type="dxa"/>
            <w:vAlign w:val="bottom"/>
            <w:tcBorders>
              <w:right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676,643</w:t>
            </w:r>
          </w:p>
        </w:tc>
        <w:tc>
          <w:tcPr>
            <w:tcW w:w="80" w:type="dxa"/>
            <w:vAlign w:val="bottom"/>
            <w:shd w:val="clear" w:color="auto" w:fill="CCEEFF"/>
          </w:tcPr>
          <w:p>
            <w:pPr>
              <w:spacing w:after="0"/>
              <w:rPr>
                <w:sz w:val="18"/>
                <w:szCs w:val="18"/>
                <w:color w:val="auto"/>
              </w:rPr>
            </w:pPr>
          </w:p>
        </w:tc>
      </w:tr>
      <w:tr>
        <w:trPr>
          <w:trHeight w:val="216"/>
        </w:trPr>
        <w:tc>
          <w:tcPr>
            <w:tcW w:w="8680" w:type="dxa"/>
            <w:vAlign w:val="bottom"/>
          </w:tcPr>
          <w:p>
            <w:pPr>
              <w:ind w:left="180"/>
              <w:spacing w:after="0"/>
              <w:rPr>
                <w:sz w:val="20"/>
                <w:szCs w:val="20"/>
                <w:color w:val="auto"/>
              </w:rPr>
            </w:pPr>
            <w:r>
              <w:rPr>
                <w:rFonts w:ascii="Times New Roman" w:cs="Times New Roman" w:eastAsia="Times New Roman" w:hAnsi="Times New Roman"/>
                <w:sz w:val="18"/>
                <w:szCs w:val="18"/>
                <w:color w:val="auto"/>
              </w:rPr>
              <w:t>Interest expenses</w:t>
            </w:r>
          </w:p>
        </w:tc>
        <w:tc>
          <w:tcPr>
            <w:tcW w:w="134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57,540</w:t>
            </w:r>
          </w:p>
        </w:tc>
        <w:tc>
          <w:tcPr>
            <w:tcW w:w="122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35,221</w:t>
            </w:r>
          </w:p>
        </w:tc>
      </w:tr>
      <w:tr>
        <w:trPr>
          <w:trHeight w:val="216"/>
        </w:trPr>
        <w:tc>
          <w:tcPr>
            <w:tcW w:w="8680" w:type="dxa"/>
            <w:vAlign w:val="bottom"/>
            <w:shd w:val="clear" w:color="auto" w:fill="CCEEFF"/>
          </w:tcPr>
          <w:p>
            <w:pPr>
              <w:ind w:left="180"/>
              <w:spacing w:after="0"/>
              <w:rPr>
                <w:sz w:val="20"/>
                <w:szCs w:val="20"/>
                <w:color w:val="auto"/>
              </w:rPr>
            </w:pPr>
            <w:r>
              <w:rPr>
                <w:rFonts w:ascii="Times New Roman" w:cs="Times New Roman" w:eastAsia="Times New Roman" w:hAnsi="Times New Roman"/>
                <w:sz w:val="18"/>
                <w:szCs w:val="18"/>
                <w:color w:val="auto"/>
              </w:rPr>
              <w:t>Interest income</w:t>
            </w:r>
          </w:p>
        </w:tc>
        <w:tc>
          <w:tcPr>
            <w:tcW w:w="1340" w:type="dxa"/>
            <w:vAlign w:val="bottom"/>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18"/>
                <w:szCs w:val="18"/>
                <w:color w:val="auto"/>
              </w:rPr>
              <w:t>(115,827)</w:t>
            </w:r>
          </w:p>
        </w:tc>
        <w:tc>
          <w:tcPr>
            <w:tcW w:w="1220" w:type="dxa"/>
            <w:vAlign w:val="bottom"/>
            <w:gridSpan w:val="2"/>
            <w:shd w:val="clear" w:color="auto" w:fill="CCEEFF"/>
          </w:tcPr>
          <w:p>
            <w:pPr>
              <w:jc w:val="right"/>
              <w:ind w:right="40"/>
              <w:spacing w:after="0"/>
              <w:rPr>
                <w:sz w:val="20"/>
                <w:szCs w:val="20"/>
                <w:color w:val="auto"/>
              </w:rPr>
            </w:pPr>
            <w:r>
              <w:rPr>
                <w:rFonts w:ascii="Times New Roman" w:cs="Times New Roman" w:eastAsia="Times New Roman" w:hAnsi="Times New Roman"/>
                <w:sz w:val="18"/>
                <w:szCs w:val="18"/>
                <w:color w:val="auto"/>
              </w:rPr>
              <w:t>(209,466)</w:t>
            </w:r>
          </w:p>
        </w:tc>
      </w:tr>
      <w:tr>
        <w:trPr>
          <w:trHeight w:val="237"/>
        </w:trPr>
        <w:tc>
          <w:tcPr>
            <w:tcW w:w="8680" w:type="dxa"/>
            <w:vAlign w:val="bottom"/>
          </w:tcPr>
          <w:p>
            <w:pPr>
              <w:ind w:left="180"/>
              <w:spacing w:after="0"/>
              <w:rPr>
                <w:sz w:val="20"/>
                <w:szCs w:val="20"/>
                <w:color w:val="auto"/>
              </w:rPr>
            </w:pPr>
            <w:r>
              <w:rPr>
                <w:rFonts w:ascii="Times New Roman" w:cs="Times New Roman" w:eastAsia="Times New Roman" w:hAnsi="Times New Roman"/>
                <w:sz w:val="18"/>
                <w:szCs w:val="18"/>
                <w:color w:val="auto"/>
              </w:rPr>
              <w:t>Depreciation</w:t>
            </w:r>
          </w:p>
        </w:tc>
        <w:tc>
          <w:tcPr>
            <w:tcW w:w="134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85,350</w:t>
            </w:r>
          </w:p>
        </w:tc>
        <w:tc>
          <w:tcPr>
            <w:tcW w:w="11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176,626</w:t>
            </w:r>
          </w:p>
        </w:tc>
        <w:tc>
          <w:tcPr>
            <w:tcW w:w="80" w:type="dxa"/>
            <w:vAlign w:val="bottom"/>
          </w:tcPr>
          <w:p>
            <w:pPr>
              <w:spacing w:after="0"/>
              <w:rPr>
                <w:sz w:val="20"/>
                <w:szCs w:val="20"/>
                <w:color w:val="auto"/>
              </w:rPr>
            </w:pPr>
          </w:p>
        </w:tc>
      </w:tr>
      <w:tr>
        <w:trPr>
          <w:trHeight w:val="216"/>
        </w:trPr>
        <w:tc>
          <w:tcPr>
            <w:tcW w:w="8680" w:type="dxa"/>
            <w:vAlign w:val="bottom"/>
            <w:tcBorders>
              <w:top w:val="single" w:sz="8" w:color="CCEEFF"/>
            </w:tcBorders>
            <w:shd w:val="clear" w:color="auto" w:fill="CCEEFF"/>
          </w:tcPr>
          <w:p>
            <w:pPr>
              <w:spacing w:after="0"/>
              <w:rPr>
                <w:sz w:val="20"/>
                <w:szCs w:val="20"/>
                <w:color w:val="auto"/>
              </w:rPr>
            </w:pPr>
            <w:r>
              <w:rPr>
                <w:rFonts w:ascii="Times New Roman" w:cs="Times New Roman" w:eastAsia="Times New Roman" w:hAnsi="Times New Roman"/>
                <w:sz w:val="18"/>
                <w:szCs w:val="18"/>
                <w:b w:val="1"/>
                <w:bCs w:val="1"/>
                <w:color w:val="auto"/>
              </w:rPr>
              <w:t>EBITDA</w:t>
            </w:r>
          </w:p>
        </w:tc>
        <w:tc>
          <w:tcPr>
            <w:tcW w:w="112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2,807,260</w:t>
            </w:r>
          </w:p>
        </w:tc>
        <w:tc>
          <w:tcPr>
            <w:tcW w:w="220" w:type="dxa"/>
            <w:vAlign w:val="bottom"/>
            <w:tcBorders>
              <w:top w:val="single" w:sz="8" w:color="CCEEFF"/>
            </w:tcBorders>
            <w:shd w:val="clear" w:color="auto" w:fill="CCEEFF"/>
          </w:tcPr>
          <w:p>
            <w:pPr>
              <w:spacing w:after="0"/>
              <w:rPr>
                <w:sz w:val="18"/>
                <w:szCs w:val="18"/>
                <w:color w:val="auto"/>
              </w:rPr>
            </w:pPr>
          </w:p>
        </w:tc>
        <w:tc>
          <w:tcPr>
            <w:tcW w:w="1140" w:type="dxa"/>
            <w:vAlign w:val="bottom"/>
            <w:tcBorders>
              <w:top w:val="single" w:sz="8" w:color="auto"/>
              <w:right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2,981,899</w:t>
            </w:r>
          </w:p>
        </w:tc>
        <w:tc>
          <w:tcPr>
            <w:tcW w:w="80" w:type="dxa"/>
            <w:vAlign w:val="bottom"/>
            <w:tcBorders>
              <w:top w:val="single" w:sz="8" w:color="CCEEFF"/>
            </w:tcBorders>
            <w:shd w:val="clear" w:color="auto" w:fill="CCEEFF"/>
          </w:tcPr>
          <w:p>
            <w:pPr>
              <w:spacing w:after="0"/>
              <w:rPr>
                <w:sz w:val="18"/>
                <w:szCs w:val="18"/>
                <w:color w:val="auto"/>
              </w:rPr>
            </w:pPr>
          </w:p>
        </w:tc>
      </w:tr>
      <w:tr>
        <w:trPr>
          <w:trHeight w:val="216"/>
        </w:trPr>
        <w:tc>
          <w:tcPr>
            <w:tcW w:w="8680" w:type="dxa"/>
            <w:vAlign w:val="bottom"/>
          </w:tcPr>
          <w:p>
            <w:pPr>
              <w:ind w:left="180"/>
              <w:spacing w:after="0"/>
              <w:rPr>
                <w:sz w:val="20"/>
                <w:szCs w:val="20"/>
                <w:color w:val="auto"/>
              </w:rPr>
            </w:pPr>
            <w:r>
              <w:rPr>
                <w:rFonts w:ascii="Times New Roman" w:cs="Times New Roman" w:eastAsia="Times New Roman" w:hAnsi="Times New Roman"/>
                <w:sz w:val="18"/>
                <w:szCs w:val="18"/>
                <w:color w:val="auto"/>
              </w:rPr>
              <w:t>Add:</w:t>
            </w:r>
          </w:p>
        </w:tc>
        <w:tc>
          <w:tcPr>
            <w:tcW w:w="11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30"/>
        </w:trPr>
        <w:tc>
          <w:tcPr>
            <w:tcW w:w="8680" w:type="dxa"/>
            <w:vAlign w:val="bottom"/>
            <w:shd w:val="clear" w:color="auto" w:fill="CCEEFF"/>
          </w:tcPr>
          <w:p>
            <w:pPr>
              <w:ind w:left="180"/>
              <w:spacing w:after="0"/>
              <w:rPr>
                <w:sz w:val="20"/>
                <w:szCs w:val="20"/>
                <w:color w:val="auto"/>
              </w:rPr>
            </w:pPr>
            <w:r>
              <w:rPr>
                <w:rFonts w:ascii="Times New Roman" w:cs="Times New Roman" w:eastAsia="Times New Roman" w:hAnsi="Times New Roman"/>
                <w:sz w:val="18"/>
                <w:szCs w:val="18"/>
                <w:color w:val="auto"/>
              </w:rPr>
              <w:t>Share-based awards</w:t>
            </w:r>
          </w:p>
        </w:tc>
        <w:tc>
          <w:tcPr>
            <w:tcW w:w="13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w:t>
            </w:r>
          </w:p>
        </w:tc>
        <w:tc>
          <w:tcPr>
            <w:tcW w:w="1140" w:type="dxa"/>
            <w:vAlign w:val="bottom"/>
            <w:tcBorders>
              <w:right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955,916</w:t>
            </w:r>
          </w:p>
        </w:tc>
        <w:tc>
          <w:tcPr>
            <w:tcW w:w="80" w:type="dxa"/>
            <w:vAlign w:val="bottom"/>
            <w:shd w:val="clear" w:color="auto" w:fill="CCEEFF"/>
          </w:tcPr>
          <w:p>
            <w:pPr>
              <w:spacing w:after="0"/>
              <w:rPr>
                <w:sz w:val="19"/>
                <w:szCs w:val="19"/>
                <w:color w:val="auto"/>
              </w:rPr>
            </w:pPr>
          </w:p>
        </w:tc>
      </w:tr>
      <w:tr>
        <w:trPr>
          <w:trHeight w:val="27"/>
        </w:trPr>
        <w:tc>
          <w:tcPr>
            <w:tcW w:w="8680" w:type="dxa"/>
            <w:vAlign w:val="bottom"/>
            <w:shd w:val="clear" w:color="auto" w:fill="CCEEFF"/>
          </w:tcPr>
          <w:p>
            <w:pPr>
              <w:spacing w:after="0"/>
              <w:rPr>
                <w:sz w:val="2"/>
                <w:szCs w:val="2"/>
                <w:color w:val="auto"/>
              </w:rPr>
            </w:pPr>
          </w:p>
        </w:tc>
        <w:tc>
          <w:tcPr>
            <w:tcW w:w="1120" w:type="dxa"/>
            <w:vAlign w:val="bottom"/>
            <w:shd w:val="clear" w:color="auto" w:fill="000000"/>
          </w:tcPr>
          <w:p>
            <w:pPr>
              <w:spacing w:after="0"/>
              <w:rPr>
                <w:sz w:val="2"/>
                <w:szCs w:val="2"/>
                <w:color w:val="auto"/>
              </w:rPr>
            </w:pPr>
          </w:p>
        </w:tc>
        <w:tc>
          <w:tcPr>
            <w:tcW w:w="220" w:type="dxa"/>
            <w:vAlign w:val="bottom"/>
            <w:shd w:val="clear" w:color="auto" w:fill="CCEEFF"/>
          </w:tcPr>
          <w:p>
            <w:pPr>
              <w:spacing w:after="0"/>
              <w:rPr>
                <w:sz w:val="2"/>
                <w:szCs w:val="2"/>
                <w:color w:val="auto"/>
              </w:rPr>
            </w:pPr>
          </w:p>
        </w:tc>
        <w:tc>
          <w:tcPr>
            <w:tcW w:w="1140" w:type="dxa"/>
            <w:vAlign w:val="bottom"/>
            <w:tcBorders>
              <w:right w:val="single" w:sz="8" w:color="CCEEFF"/>
            </w:tcBorders>
            <w:shd w:val="clear" w:color="auto" w:fill="000000"/>
          </w:tcPr>
          <w:p>
            <w:pPr>
              <w:spacing w:after="0"/>
              <w:rPr>
                <w:sz w:val="2"/>
                <w:szCs w:val="2"/>
                <w:color w:val="auto"/>
              </w:rPr>
            </w:pPr>
          </w:p>
        </w:tc>
        <w:tc>
          <w:tcPr>
            <w:tcW w:w="80" w:type="dxa"/>
            <w:vAlign w:val="bottom"/>
            <w:shd w:val="clear" w:color="auto" w:fill="CCEEFF"/>
          </w:tcPr>
          <w:p>
            <w:pPr>
              <w:spacing w:after="0"/>
              <w:rPr>
                <w:sz w:val="2"/>
                <w:szCs w:val="2"/>
                <w:color w:val="auto"/>
              </w:rPr>
            </w:pPr>
          </w:p>
        </w:tc>
      </w:tr>
      <w:tr>
        <w:trPr>
          <w:trHeight w:val="250"/>
        </w:trPr>
        <w:tc>
          <w:tcPr>
            <w:tcW w:w="8680" w:type="dxa"/>
            <w:vAlign w:val="bottom"/>
          </w:tcPr>
          <w:p>
            <w:pPr>
              <w:spacing w:after="0"/>
              <w:rPr>
                <w:sz w:val="20"/>
                <w:szCs w:val="20"/>
                <w:color w:val="auto"/>
              </w:rPr>
            </w:pPr>
            <w:r>
              <w:rPr>
                <w:rFonts w:ascii="Times New Roman" w:cs="Times New Roman" w:eastAsia="Times New Roman" w:hAnsi="Times New Roman"/>
                <w:sz w:val="18"/>
                <w:szCs w:val="18"/>
                <w:color w:val="auto"/>
              </w:rPr>
              <w:t>Adjusted EBITDA</w:t>
            </w:r>
          </w:p>
        </w:tc>
        <w:tc>
          <w:tcPr>
            <w:tcW w:w="134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2,807,260</w:t>
            </w:r>
          </w:p>
        </w:tc>
        <w:tc>
          <w:tcPr>
            <w:tcW w:w="11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3,937,815</w:t>
            </w:r>
          </w:p>
        </w:tc>
        <w:tc>
          <w:tcPr>
            <w:tcW w:w="80" w:type="dxa"/>
            <w:vAlign w:val="bottom"/>
          </w:tcPr>
          <w:p>
            <w:pPr>
              <w:spacing w:after="0"/>
              <w:rPr>
                <w:sz w:val="21"/>
                <w:szCs w:val="21"/>
                <w:color w:val="auto"/>
              </w:rPr>
            </w:pPr>
          </w:p>
        </w:tc>
      </w:tr>
      <w:tr>
        <w:trPr>
          <w:trHeight w:val="21"/>
        </w:trPr>
        <w:tc>
          <w:tcPr>
            <w:tcW w:w="8680" w:type="dxa"/>
            <w:vAlign w:val="bottom"/>
          </w:tcPr>
          <w:p>
            <w:pPr>
              <w:spacing w:after="0" w:line="20" w:lineRule="exact"/>
              <w:rPr>
                <w:sz w:val="1"/>
                <w:szCs w:val="1"/>
                <w:color w:val="auto"/>
              </w:rPr>
            </w:pPr>
          </w:p>
        </w:tc>
        <w:tc>
          <w:tcPr>
            <w:tcW w:w="11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4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194"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Six Month Financial Results Ended September 30, 2025</w:t>
      </w:r>
    </w:p>
    <w:p>
      <w:pPr>
        <w:spacing w:after="0" w:line="225" w:lineRule="exact"/>
        <w:rPr>
          <w:sz w:val="20"/>
          <w:szCs w:val="20"/>
          <w:color w:val="auto"/>
        </w:rPr>
      </w:pPr>
    </w:p>
    <w:p>
      <w:pPr>
        <w:jc w:val="both"/>
        <w:spacing w:after="0" w:line="268" w:lineRule="auto"/>
        <w:rPr>
          <w:sz w:val="20"/>
          <w:szCs w:val="20"/>
          <w:color w:val="auto"/>
        </w:rPr>
      </w:pPr>
      <w:r>
        <w:rPr>
          <w:rFonts w:ascii="Times New Roman" w:cs="Times New Roman" w:eastAsia="Times New Roman" w:hAnsi="Times New Roman"/>
          <w:sz w:val="18"/>
          <w:szCs w:val="18"/>
          <w:b w:val="1"/>
          <w:bCs w:val="1"/>
          <w:color w:val="auto"/>
        </w:rPr>
        <w:t xml:space="preserve">Revenue. </w:t>
      </w:r>
      <w:r>
        <w:rPr>
          <w:rFonts w:ascii="Times New Roman" w:cs="Times New Roman" w:eastAsia="Times New Roman" w:hAnsi="Times New Roman"/>
          <w:sz w:val="18"/>
          <w:szCs w:val="18"/>
          <w:color w:val="auto"/>
        </w:rPr>
        <w:t>Revenue increased by approximately 19.3% from approximately US$19.0 million for the six months ended September 30, 2024, to</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approximately US$22.7 million for the six months ended September 30, 2025. The growth in revenue during the six-month period ended September 30, 2025, was driven by stronger demand from key customers.</w:t>
      </w:r>
    </w:p>
    <w:p>
      <w:pPr>
        <w:spacing w:after="0" w:line="171" w:lineRule="exact"/>
        <w:rPr>
          <w:sz w:val="20"/>
          <w:szCs w:val="20"/>
          <w:color w:val="auto"/>
        </w:rPr>
      </w:pPr>
    </w:p>
    <w:p>
      <w:pPr>
        <w:jc w:val="both"/>
        <w:ind w:right="20"/>
        <w:spacing w:after="0" w:line="268" w:lineRule="auto"/>
        <w:rPr>
          <w:sz w:val="20"/>
          <w:szCs w:val="20"/>
          <w:color w:val="auto"/>
        </w:rPr>
      </w:pPr>
      <w:r>
        <w:rPr>
          <w:rFonts w:ascii="Times New Roman" w:cs="Times New Roman" w:eastAsia="Times New Roman" w:hAnsi="Times New Roman"/>
          <w:sz w:val="18"/>
          <w:szCs w:val="18"/>
          <w:b w:val="1"/>
          <w:bCs w:val="1"/>
          <w:color w:val="auto"/>
        </w:rPr>
        <w:t xml:space="preserve">Selling, general and administrative expenses. </w:t>
      </w:r>
      <w:r>
        <w:rPr>
          <w:rFonts w:ascii="Times New Roman" w:cs="Times New Roman" w:eastAsia="Times New Roman" w:hAnsi="Times New Roman"/>
          <w:sz w:val="18"/>
          <w:szCs w:val="18"/>
          <w:color w:val="auto"/>
        </w:rPr>
        <w:t>Selling, general and administrative expenses increased by approximately 59.5% from approximately</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US$2.9 million for the six months ended September 30, 2024, to approximately US$4.6 million for the six months ended September 30, 2025, which was mainly due to share-based awards recognized in respect of awards granted to five members.</w:t>
      </w:r>
    </w:p>
    <w:p>
      <w:pPr>
        <w:spacing w:after="0" w:line="171" w:lineRule="exact"/>
        <w:rPr>
          <w:sz w:val="20"/>
          <w:szCs w:val="20"/>
          <w:color w:val="auto"/>
        </w:rPr>
      </w:pPr>
    </w:p>
    <w:p>
      <w:pPr>
        <w:jc w:val="both"/>
        <w:spacing w:after="0" w:line="286" w:lineRule="auto"/>
        <w:rPr>
          <w:sz w:val="20"/>
          <w:szCs w:val="20"/>
          <w:color w:val="auto"/>
        </w:rPr>
      </w:pPr>
      <w:r>
        <w:rPr>
          <w:rFonts w:ascii="Times New Roman" w:cs="Times New Roman" w:eastAsia="Times New Roman" w:hAnsi="Times New Roman"/>
          <w:sz w:val="18"/>
          <w:szCs w:val="18"/>
          <w:b w:val="1"/>
          <w:bCs w:val="1"/>
          <w:color w:val="auto"/>
        </w:rPr>
        <w:t xml:space="preserve">Other income, net. </w:t>
      </w:r>
      <w:r>
        <w:rPr>
          <w:rFonts w:ascii="Times New Roman" w:cs="Times New Roman" w:eastAsia="Times New Roman" w:hAnsi="Times New Roman"/>
          <w:sz w:val="18"/>
          <w:szCs w:val="18"/>
          <w:color w:val="auto"/>
        </w:rPr>
        <w:t>Other net income increased by approximately US$0.1 million from approximately US$0.4 million for the six months ended September</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30, 2024, to approximately US$0.5 million for the six months ended September 30, 2025, which was mainly due to an increase in interest income.</w:t>
      </w:r>
    </w:p>
    <w:p>
      <w:pPr>
        <w:spacing w:after="0" w:line="155" w:lineRule="exact"/>
        <w:rPr>
          <w:sz w:val="20"/>
          <w:szCs w:val="20"/>
          <w:color w:val="auto"/>
        </w:rPr>
      </w:pPr>
    </w:p>
    <w:p>
      <w:pPr>
        <w:jc w:val="both"/>
        <w:spacing w:after="0" w:line="286" w:lineRule="auto"/>
        <w:rPr>
          <w:sz w:val="20"/>
          <w:szCs w:val="20"/>
          <w:color w:val="auto"/>
        </w:rPr>
      </w:pPr>
      <w:r>
        <w:rPr>
          <w:rFonts w:ascii="Times New Roman" w:cs="Times New Roman" w:eastAsia="Times New Roman" w:hAnsi="Times New Roman"/>
          <w:sz w:val="18"/>
          <w:szCs w:val="18"/>
          <w:b w:val="1"/>
          <w:bCs w:val="1"/>
          <w:color w:val="auto"/>
        </w:rPr>
        <w:t xml:space="preserve">Income tax expense. </w:t>
      </w:r>
      <w:r>
        <w:rPr>
          <w:rFonts w:ascii="Times New Roman" w:cs="Times New Roman" w:eastAsia="Times New Roman" w:hAnsi="Times New Roman"/>
          <w:sz w:val="18"/>
          <w:szCs w:val="18"/>
          <w:color w:val="auto"/>
        </w:rPr>
        <w:t>Income tax expense increased to US$0.7 million for the six months ended September 30, 2025 (for the six months ended September</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30, 2024: approximately US$0.5 million) which was mainly due to the increase in income before tax in the current period.</w:t>
      </w:r>
    </w:p>
    <w:p>
      <w:pPr>
        <w:spacing w:after="0" w:line="15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 xml:space="preserve">Net income. </w:t>
      </w:r>
      <w:r>
        <w:rPr>
          <w:rFonts w:ascii="Times New Roman" w:cs="Times New Roman" w:eastAsia="Times New Roman" w:hAnsi="Times New Roman"/>
          <w:sz w:val="18"/>
          <w:szCs w:val="18"/>
          <w:color w:val="auto"/>
        </w:rPr>
        <w:t>For the six months ended September 30, 2025, net income was approximately US$2.3 million, consistent with the prior year period (2024:</w:t>
      </w:r>
    </w:p>
    <w:p>
      <w:pPr>
        <w:spacing w:after="0" w:line="3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approximately US$2.3 million).</w:t>
      </w:r>
    </w:p>
    <w:p>
      <w:pPr>
        <w:spacing w:after="0" w:line="203" w:lineRule="exact"/>
        <w:rPr>
          <w:sz w:val="20"/>
          <w:szCs w:val="20"/>
          <w:color w:val="auto"/>
        </w:rPr>
      </w:pPr>
    </w:p>
    <w:p>
      <w:pPr>
        <w:jc w:val="both"/>
        <w:ind w:right="20"/>
        <w:spacing w:after="0" w:line="286" w:lineRule="auto"/>
        <w:rPr>
          <w:sz w:val="20"/>
          <w:szCs w:val="20"/>
          <w:color w:val="auto"/>
        </w:rPr>
      </w:pPr>
      <w:r>
        <w:rPr>
          <w:rFonts w:ascii="Times New Roman" w:cs="Times New Roman" w:eastAsia="Times New Roman" w:hAnsi="Times New Roman"/>
          <w:sz w:val="18"/>
          <w:szCs w:val="18"/>
          <w:b w:val="1"/>
          <w:bCs w:val="1"/>
          <w:color w:val="auto"/>
        </w:rPr>
        <w:t xml:space="preserve">Basic and diluted EPS. </w:t>
      </w:r>
      <w:r>
        <w:rPr>
          <w:rFonts w:ascii="Times New Roman" w:cs="Times New Roman" w:eastAsia="Times New Roman" w:hAnsi="Times New Roman"/>
          <w:sz w:val="18"/>
          <w:szCs w:val="18"/>
          <w:color w:val="auto"/>
        </w:rPr>
        <w:t>Basic and diluted EPS were approximately US$0.62 per ordinary share for the six months ended September 30, 2025, as compared</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to US$0.74 per ordinary share for the six months ended September 30, 2024, respectively.</w:t>
      </w:r>
    </w:p>
    <w:p>
      <w:pPr>
        <w:spacing w:after="0" w:line="375"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color w:val="auto"/>
        </w:rPr>
        <w:t>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1714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ectPr>
          <w:pgSz w:w="11900" w:h="16838" w:orient="portrait"/>
          <w:cols w:equalWidth="0" w:num="1">
            <w:col w:w="11240"/>
          </w:cols>
          <w:pgMar w:left="320" w:top="333" w:right="339" w:bottom="1440" w:gutter="0" w:footer="0" w:header="0"/>
        </w:sectPr>
      </w:pPr>
    </w:p>
    <w:bookmarkStart w:id="10" w:name="page11"/>
    <w:bookmarkEnd w:id="10"/>
    <w:p>
      <w:pPr>
        <w:spacing w:after="0"/>
        <w:rPr>
          <w:sz w:val="20"/>
          <w:szCs w:val="20"/>
          <w:color w:val="auto"/>
        </w:rPr>
      </w:pPr>
      <w:r>
        <w:rPr>
          <w:rFonts w:ascii="Times New Roman" w:cs="Times New Roman" w:eastAsia="Times New Roman" w:hAnsi="Times New Roman"/>
          <w:sz w:val="18"/>
          <w:szCs w:val="18"/>
          <w:b w:val="1"/>
          <w:bCs w:val="1"/>
          <w:color w:val="auto"/>
        </w:rPr>
        <w:t>Liquidity and Capital Resources</w:t>
      </w:r>
    </w:p>
    <w:p>
      <w:pPr>
        <w:spacing w:after="0" w:line="229"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As of September 30, 2025, the Company had cash of US$11,358,839, total current assets of US$20,371,822, and total current liabilities of US$7,289,739. Net current assets were US$13,082,083 and the working capital ratio was 2.8. As of September 30, 2025, the Company’s total assets and total liabilities amounted to US$25,663,983 and US$8,625,254, respectively. As of September 30, 2025, the Company’s total stockholder’s equity amounted to US$17,038,729 and its gearing ratio (bank loan divided by stockholder’s equity) was 6.2%.</w:t>
      </w:r>
    </w:p>
    <w:p>
      <w:pPr>
        <w:spacing w:after="0" w:line="176"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Off-Balance Sheet Arrangements</w:t>
      </w:r>
    </w:p>
    <w:p>
      <w:pPr>
        <w:spacing w:after="0" w:line="229"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The Company does not have any off-balance sheet arrangements, including arrangements that would affect its liquidity, capital resources, market risk support, credit risk support, or other benefits.</w:t>
      </w:r>
    </w:p>
    <w:p>
      <w:pPr>
        <w:spacing w:after="0" w:line="15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About J-Long Group Limited</w:t>
      </w:r>
    </w:p>
    <w:p>
      <w:pPr>
        <w:spacing w:after="0" w:line="229"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J-Long Group Limited is an established distributor in Hong Kong of reflective and non-reflective garment trims including, among others, heat transfers, fabrics, woven labels and tapes, sewing badges, piping, zipper pullers and drawcords. The Company offers a wide range of services to cater to customers’ needs in reflective and non-reflective garment trims, including market trend analysis, product design and development and production and quality control. For more information, visit the Company’s website at http://j-long.com.</w:t>
      </w:r>
    </w:p>
    <w:p>
      <w:pPr>
        <w:spacing w:after="0" w:line="176"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Safe Harbor Statement</w:t>
      </w:r>
    </w:p>
    <w:p>
      <w:pPr>
        <w:spacing w:after="0" w:line="229" w:lineRule="exact"/>
        <w:rPr>
          <w:sz w:val="20"/>
          <w:szCs w:val="20"/>
          <w:color w:val="auto"/>
        </w:rPr>
      </w:pPr>
    </w:p>
    <w:p>
      <w:pPr>
        <w:jc w:val="both"/>
        <w:spacing w:after="0" w:line="254" w:lineRule="auto"/>
        <w:rPr>
          <w:sz w:val="20"/>
          <w:szCs w:val="20"/>
          <w:color w:val="auto"/>
        </w:rPr>
      </w:pPr>
      <w:r>
        <w:rPr>
          <w:rFonts w:ascii="Times New Roman" w:cs="Times New Roman" w:eastAsia="Times New Roman" w:hAnsi="Times New Roman"/>
          <w:sz w:val="18"/>
          <w:szCs w:val="18"/>
          <w:color w:val="auto"/>
        </w:rPr>
        <w:t>Certain statements in this announcement are forward-looking statements. These forward-looking statements involve known and unknown risks and uncertainties and are based on the Company’s current expectations and projections about future events that the Company believes may affect its financial condition, results of operations, business strategy and financial needs. Investors can identify these forward-looking statements by words or phrases such as “may,” “will,” “expect,” “anticipate,” “aim,” “estimate,” “intend,” “plan,” “believe,” “is/are likely to,” “potential,” “continue” or other similar expressions. The Company undertakes no obligation to update or revise publicly any forward-looking statements to reflect subsequent occurring events or circumstances, or changes in its expectations, except as may be required by law. Although the Company believes that the expectations expressed in these forward-looking statements are reasonable, it cannot assure you that such expectations will turn out to be correct, and the Company cautions investors that actual results may differ materially from the anticipated results and encourages investors to review other factors that may affect its future results in the Company’s registration statement and other filings with the SEC, which are available for review at www.sec.gov.</w:t>
      </w:r>
    </w:p>
    <w:p>
      <w:pPr>
        <w:spacing w:after="0" w:line="184"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auto"/>
        </w:rPr>
        <w:t>Hong Kong:</w:t>
      </w:r>
    </w:p>
    <w:p>
      <w:pPr>
        <w:spacing w:after="0" w:line="22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J-Long Group Limited</w:t>
      </w:r>
    </w:p>
    <w:p>
      <w:pPr>
        <w:spacing w:after="0" w:line="27"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Edwin Chun Yin Wong, CEO and Director</w:t>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ir@j-long.com +852 3693 2110</w:t>
      </w:r>
    </w:p>
    <w:p>
      <w:pPr>
        <w:spacing w:after="0" w:line="200" w:lineRule="exact"/>
        <w:rPr>
          <w:sz w:val="20"/>
          <w:szCs w:val="20"/>
          <w:color w:val="auto"/>
        </w:rPr>
      </w:pPr>
    </w:p>
    <w:p>
      <w:pPr>
        <w:spacing w:after="0" w:line="223"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color w:val="auto"/>
        </w:rPr>
        <w:t>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1714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ectPr>
          <w:pgSz w:w="11900" w:h="16838" w:orient="portrait"/>
          <w:cols w:equalWidth="0" w:num="1">
            <w:col w:w="11240"/>
          </w:cols>
          <w:pgMar w:left="320" w:top="333" w:right="339" w:bottom="1440" w:gutter="0" w:footer="0" w:header="0"/>
        </w:sectPr>
      </w:pPr>
    </w:p>
    <w:bookmarkStart w:id="11" w:name="page12"/>
    <w:bookmarkEnd w:id="11"/>
    <w:p>
      <w:pPr>
        <w:jc w:val="center"/>
        <w:spacing w:after="0"/>
        <w:rPr>
          <w:sz w:val="20"/>
          <w:szCs w:val="20"/>
          <w:color w:val="auto"/>
        </w:rPr>
      </w:pPr>
      <w:r>
        <w:rPr>
          <w:rFonts w:ascii="Times New Roman" w:cs="Times New Roman" w:eastAsia="Times New Roman" w:hAnsi="Times New Roman"/>
          <w:sz w:val="18"/>
          <w:szCs w:val="18"/>
          <w:b w:val="1"/>
          <w:bCs w:val="1"/>
          <w:color w:val="auto"/>
        </w:rPr>
        <w:t>J-LONG GROUP LIMITED</w:t>
      </w:r>
    </w:p>
    <w:p>
      <w:pPr>
        <w:spacing w:after="0" w:line="31"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UNAUDITED CONSOLIDATED BALANCE SHEETS</w:t>
      </w:r>
    </w:p>
    <w:p>
      <w:pPr>
        <w:spacing w:after="0" w:line="135" w:lineRule="exact"/>
        <w:rPr>
          <w:sz w:val="20"/>
          <w:szCs w:val="20"/>
          <w:color w:val="auto"/>
        </w:rPr>
      </w:pPr>
    </w:p>
    <w:tbl>
      <w:tblPr>
        <w:tblLayout w:type="fixed"/>
        <w:tblInd w:w="0" w:type="dxa"/>
        <w:tblCellMar>
          <w:top w:w="0" w:type="dxa"/>
          <w:left w:w="0" w:type="dxa"/>
          <w:bottom w:w="0" w:type="dxa"/>
          <w:right w:w="0" w:type="dxa"/>
        </w:tblCellMar>
      </w:tblPr>
      <w:tr>
        <w:trPr>
          <w:trHeight w:val="245"/>
        </w:trPr>
        <w:tc>
          <w:tcPr>
            <w:tcW w:w="8680" w:type="dxa"/>
            <w:vAlign w:val="bottom"/>
          </w:tcPr>
          <w:p>
            <w:pPr>
              <w:spacing w:after="0"/>
              <w:rPr>
                <w:sz w:val="21"/>
                <w:szCs w:val="21"/>
                <w:color w:val="auto"/>
              </w:rPr>
            </w:pPr>
          </w:p>
        </w:tc>
        <w:tc>
          <w:tcPr>
            <w:tcW w:w="2560" w:type="dxa"/>
            <w:vAlign w:val="bottom"/>
            <w:gridSpan w:val="4"/>
          </w:tcPr>
          <w:p>
            <w:pPr>
              <w:jc w:val="right"/>
              <w:ind w:right="1140"/>
              <w:spacing w:after="0"/>
              <w:rPr>
                <w:sz w:val="20"/>
                <w:szCs w:val="20"/>
                <w:color w:val="auto"/>
              </w:rPr>
            </w:pPr>
            <w:r>
              <w:rPr>
                <w:rFonts w:ascii="Times New Roman" w:cs="Times New Roman" w:eastAsia="Times New Roman" w:hAnsi="Times New Roman"/>
                <w:sz w:val="18"/>
                <w:szCs w:val="18"/>
                <w:b w:val="1"/>
                <w:bCs w:val="1"/>
                <w:color w:val="auto"/>
              </w:rPr>
              <w:t>As of</w:t>
            </w:r>
          </w:p>
        </w:tc>
      </w:tr>
      <w:tr>
        <w:trPr>
          <w:trHeight w:val="207"/>
        </w:trPr>
        <w:tc>
          <w:tcPr>
            <w:tcW w:w="8680" w:type="dxa"/>
            <w:vAlign w:val="bottom"/>
          </w:tcPr>
          <w:p>
            <w:pPr>
              <w:spacing w:after="0"/>
              <w:rPr>
                <w:sz w:val="18"/>
                <w:szCs w:val="18"/>
                <w:color w:val="auto"/>
              </w:rPr>
            </w:pPr>
          </w:p>
        </w:tc>
        <w:tc>
          <w:tcPr>
            <w:tcW w:w="1340" w:type="dxa"/>
            <w:vAlign w:val="bottom"/>
            <w:tcBorders>
              <w:top w:val="single" w:sz="8" w:color="auto"/>
            </w:tcBorders>
            <w:gridSpan w:val="2"/>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rPr>
              <w:t>March 31,</w:t>
            </w:r>
          </w:p>
        </w:tc>
        <w:tc>
          <w:tcPr>
            <w:tcW w:w="1120" w:type="dxa"/>
            <w:vAlign w:val="bottom"/>
            <w:tcBorders>
              <w:top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September 30,</w:t>
            </w:r>
          </w:p>
        </w:tc>
        <w:tc>
          <w:tcPr>
            <w:tcW w:w="100" w:type="dxa"/>
            <w:vAlign w:val="bottom"/>
          </w:tcPr>
          <w:p>
            <w:pPr>
              <w:spacing w:after="0"/>
              <w:rPr>
                <w:sz w:val="18"/>
                <w:szCs w:val="18"/>
                <w:color w:val="auto"/>
              </w:rPr>
            </w:pPr>
          </w:p>
        </w:tc>
      </w:tr>
      <w:tr>
        <w:trPr>
          <w:trHeight w:val="245"/>
        </w:trPr>
        <w:tc>
          <w:tcPr>
            <w:tcW w:w="8680" w:type="dxa"/>
            <w:vAlign w:val="bottom"/>
          </w:tcPr>
          <w:p>
            <w:pPr>
              <w:spacing w:after="0"/>
              <w:rPr>
                <w:sz w:val="21"/>
                <w:szCs w:val="21"/>
                <w:color w:val="auto"/>
              </w:rPr>
            </w:pPr>
          </w:p>
        </w:tc>
        <w:tc>
          <w:tcPr>
            <w:tcW w:w="112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2025</w:t>
            </w:r>
          </w:p>
        </w:tc>
        <w:tc>
          <w:tcPr>
            <w:tcW w:w="220" w:type="dxa"/>
            <w:vAlign w:val="bottom"/>
          </w:tcPr>
          <w:p>
            <w:pPr>
              <w:spacing w:after="0"/>
              <w:rPr>
                <w:sz w:val="21"/>
                <w:szCs w:val="21"/>
                <w:color w:val="auto"/>
              </w:rPr>
            </w:pPr>
          </w:p>
        </w:tc>
        <w:tc>
          <w:tcPr>
            <w:tcW w:w="112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2025</w:t>
            </w:r>
          </w:p>
        </w:tc>
        <w:tc>
          <w:tcPr>
            <w:tcW w:w="100" w:type="dxa"/>
            <w:vAlign w:val="bottom"/>
          </w:tcPr>
          <w:p>
            <w:pPr>
              <w:spacing w:after="0"/>
              <w:rPr>
                <w:sz w:val="21"/>
                <w:szCs w:val="21"/>
                <w:color w:val="auto"/>
              </w:rPr>
            </w:pPr>
          </w:p>
        </w:tc>
      </w:tr>
      <w:tr>
        <w:trPr>
          <w:trHeight w:val="223"/>
        </w:trPr>
        <w:tc>
          <w:tcPr>
            <w:tcW w:w="8680" w:type="dxa"/>
            <w:vAlign w:val="bottom"/>
          </w:tcPr>
          <w:p>
            <w:pPr>
              <w:spacing w:after="0"/>
              <w:rPr>
                <w:sz w:val="19"/>
                <w:szCs w:val="19"/>
                <w:color w:val="auto"/>
              </w:rPr>
            </w:pPr>
          </w:p>
        </w:tc>
        <w:tc>
          <w:tcPr>
            <w:tcW w:w="112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USD</w:t>
            </w:r>
          </w:p>
        </w:tc>
        <w:tc>
          <w:tcPr>
            <w:tcW w:w="220" w:type="dxa"/>
            <w:vAlign w:val="bottom"/>
          </w:tcPr>
          <w:p>
            <w:pPr>
              <w:spacing w:after="0"/>
              <w:rPr>
                <w:sz w:val="19"/>
                <w:szCs w:val="19"/>
                <w:color w:val="auto"/>
              </w:rPr>
            </w:pPr>
          </w:p>
        </w:tc>
        <w:tc>
          <w:tcPr>
            <w:tcW w:w="112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USD</w:t>
            </w:r>
          </w:p>
        </w:tc>
        <w:tc>
          <w:tcPr>
            <w:tcW w:w="100" w:type="dxa"/>
            <w:vAlign w:val="bottom"/>
          </w:tcPr>
          <w:p>
            <w:pPr>
              <w:spacing w:after="0"/>
              <w:rPr>
                <w:sz w:val="19"/>
                <w:szCs w:val="19"/>
                <w:color w:val="auto"/>
              </w:rPr>
            </w:pPr>
          </w:p>
        </w:tc>
      </w:tr>
      <w:tr>
        <w:trPr>
          <w:trHeight w:val="223"/>
        </w:trPr>
        <w:tc>
          <w:tcPr>
            <w:tcW w:w="8680" w:type="dxa"/>
            <w:vAlign w:val="bottom"/>
          </w:tcPr>
          <w:p>
            <w:pPr>
              <w:spacing w:after="0"/>
              <w:rPr>
                <w:sz w:val="19"/>
                <w:szCs w:val="19"/>
                <w:color w:val="auto"/>
              </w:rPr>
            </w:pPr>
          </w:p>
        </w:tc>
        <w:tc>
          <w:tcPr>
            <w:tcW w:w="112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(Audited)</w:t>
            </w:r>
          </w:p>
        </w:tc>
        <w:tc>
          <w:tcPr>
            <w:tcW w:w="220" w:type="dxa"/>
            <w:vAlign w:val="bottom"/>
          </w:tcPr>
          <w:p>
            <w:pPr>
              <w:spacing w:after="0"/>
              <w:rPr>
                <w:sz w:val="19"/>
                <w:szCs w:val="19"/>
                <w:color w:val="auto"/>
              </w:rPr>
            </w:pPr>
          </w:p>
        </w:tc>
        <w:tc>
          <w:tcPr>
            <w:tcW w:w="112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8"/>
              </w:rPr>
              <w:t>(Unaudited)</w:t>
            </w:r>
          </w:p>
        </w:tc>
        <w:tc>
          <w:tcPr>
            <w:tcW w:w="100" w:type="dxa"/>
            <w:vAlign w:val="bottom"/>
          </w:tcPr>
          <w:p>
            <w:pPr>
              <w:spacing w:after="0"/>
              <w:rPr>
                <w:sz w:val="19"/>
                <w:szCs w:val="19"/>
                <w:color w:val="auto"/>
              </w:rPr>
            </w:pPr>
          </w:p>
        </w:tc>
      </w:tr>
      <w:tr>
        <w:trPr>
          <w:trHeight w:val="194"/>
        </w:trPr>
        <w:tc>
          <w:tcPr>
            <w:tcW w:w="8680" w:type="dxa"/>
            <w:vAlign w:val="bottom"/>
          </w:tcPr>
          <w:p>
            <w:pPr>
              <w:spacing w:after="0" w:line="194" w:lineRule="exact"/>
              <w:rPr>
                <w:sz w:val="20"/>
                <w:szCs w:val="20"/>
                <w:color w:val="auto"/>
              </w:rPr>
            </w:pPr>
            <w:r>
              <w:rPr>
                <w:rFonts w:ascii="Times New Roman" w:cs="Times New Roman" w:eastAsia="Times New Roman" w:hAnsi="Times New Roman"/>
                <w:sz w:val="18"/>
                <w:szCs w:val="18"/>
                <w:b w:val="1"/>
                <w:bCs w:val="1"/>
                <w:color w:val="auto"/>
              </w:rPr>
              <w:t>Assets</w:t>
            </w:r>
          </w:p>
        </w:tc>
        <w:tc>
          <w:tcPr>
            <w:tcW w:w="112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120" w:type="dxa"/>
            <w:vAlign w:val="bottom"/>
          </w:tcPr>
          <w:p>
            <w:pPr>
              <w:spacing w:after="0"/>
              <w:rPr>
                <w:sz w:val="16"/>
                <w:szCs w:val="16"/>
                <w:color w:val="auto"/>
              </w:rPr>
            </w:pPr>
          </w:p>
        </w:tc>
        <w:tc>
          <w:tcPr>
            <w:tcW w:w="100" w:type="dxa"/>
            <w:vAlign w:val="bottom"/>
          </w:tcPr>
          <w:p>
            <w:pPr>
              <w:spacing w:after="0"/>
              <w:rPr>
                <w:sz w:val="16"/>
                <w:szCs w:val="16"/>
                <w:color w:val="auto"/>
              </w:rPr>
            </w:pPr>
          </w:p>
        </w:tc>
      </w:tr>
      <w:tr>
        <w:trPr>
          <w:trHeight w:val="238"/>
        </w:trPr>
        <w:tc>
          <w:tcPr>
            <w:tcW w:w="8680" w:type="dxa"/>
            <w:vAlign w:val="bottom"/>
          </w:tcPr>
          <w:p>
            <w:pPr>
              <w:spacing w:after="0"/>
              <w:rPr>
                <w:sz w:val="20"/>
                <w:szCs w:val="20"/>
                <w:color w:val="auto"/>
              </w:rPr>
            </w:pPr>
            <w:r>
              <w:rPr>
                <w:rFonts w:ascii="Times New Roman" w:cs="Times New Roman" w:eastAsia="Times New Roman" w:hAnsi="Times New Roman"/>
                <w:sz w:val="18"/>
                <w:szCs w:val="18"/>
                <w:b w:val="1"/>
                <w:bCs w:val="1"/>
                <w:color w:val="auto"/>
              </w:rPr>
              <w:t>Current assets:</w:t>
            </w:r>
          </w:p>
        </w:tc>
        <w:tc>
          <w:tcPr>
            <w:tcW w:w="112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120" w:type="dxa"/>
            <w:vAlign w:val="bottom"/>
          </w:tcPr>
          <w:p>
            <w:pPr>
              <w:spacing w:after="0"/>
              <w:rPr>
                <w:sz w:val="20"/>
                <w:szCs w:val="20"/>
                <w:color w:val="auto"/>
              </w:rPr>
            </w:pPr>
          </w:p>
        </w:tc>
        <w:tc>
          <w:tcPr>
            <w:tcW w:w="100" w:type="dxa"/>
            <w:vAlign w:val="bottom"/>
          </w:tcPr>
          <w:p>
            <w:pPr>
              <w:spacing w:after="0"/>
              <w:rPr>
                <w:sz w:val="20"/>
                <w:szCs w:val="20"/>
                <w:color w:val="auto"/>
              </w:rPr>
            </w:pPr>
          </w:p>
        </w:tc>
      </w:tr>
      <w:tr>
        <w:trPr>
          <w:trHeight w:val="216"/>
        </w:trPr>
        <w:tc>
          <w:tcPr>
            <w:tcW w:w="868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Cash and cash equivalents</w:t>
            </w:r>
          </w:p>
        </w:tc>
        <w:tc>
          <w:tcPr>
            <w:tcW w:w="13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10,669,134</w:t>
            </w:r>
          </w:p>
        </w:tc>
        <w:tc>
          <w:tcPr>
            <w:tcW w:w="122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11,358,839</w:t>
            </w:r>
          </w:p>
        </w:tc>
      </w:tr>
      <w:tr>
        <w:trPr>
          <w:trHeight w:val="216"/>
        </w:trPr>
        <w:tc>
          <w:tcPr>
            <w:tcW w:w="8680" w:type="dxa"/>
            <w:vAlign w:val="bottom"/>
          </w:tcPr>
          <w:p>
            <w:pPr>
              <w:spacing w:after="0"/>
              <w:rPr>
                <w:sz w:val="20"/>
                <w:szCs w:val="20"/>
                <w:color w:val="auto"/>
              </w:rPr>
            </w:pPr>
            <w:r>
              <w:rPr>
                <w:rFonts w:ascii="Times New Roman" w:cs="Times New Roman" w:eastAsia="Times New Roman" w:hAnsi="Times New Roman"/>
                <w:sz w:val="18"/>
                <w:szCs w:val="18"/>
                <w:color w:val="auto"/>
              </w:rPr>
              <w:t>Accounts receivable, net</w:t>
            </w:r>
          </w:p>
        </w:tc>
        <w:tc>
          <w:tcPr>
            <w:tcW w:w="134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3,102,393</w:t>
            </w:r>
          </w:p>
        </w:tc>
        <w:tc>
          <w:tcPr>
            <w:tcW w:w="122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4,231,847</w:t>
            </w:r>
          </w:p>
        </w:tc>
      </w:tr>
      <w:tr>
        <w:trPr>
          <w:trHeight w:val="216"/>
        </w:trPr>
        <w:tc>
          <w:tcPr>
            <w:tcW w:w="868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Investment in marketable debt securities</w:t>
            </w:r>
          </w:p>
        </w:tc>
        <w:tc>
          <w:tcPr>
            <w:tcW w:w="13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2,220</w:t>
            </w:r>
          </w:p>
        </w:tc>
        <w:tc>
          <w:tcPr>
            <w:tcW w:w="122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2,220</w:t>
            </w:r>
          </w:p>
        </w:tc>
      </w:tr>
      <w:tr>
        <w:trPr>
          <w:trHeight w:val="216"/>
        </w:trPr>
        <w:tc>
          <w:tcPr>
            <w:tcW w:w="8680" w:type="dxa"/>
            <w:vAlign w:val="bottom"/>
          </w:tcPr>
          <w:p>
            <w:pPr>
              <w:spacing w:after="0"/>
              <w:rPr>
                <w:sz w:val="20"/>
                <w:szCs w:val="20"/>
                <w:color w:val="auto"/>
              </w:rPr>
            </w:pPr>
            <w:r>
              <w:rPr>
                <w:rFonts w:ascii="Times New Roman" w:cs="Times New Roman" w:eastAsia="Times New Roman" w:hAnsi="Times New Roman"/>
                <w:sz w:val="18"/>
                <w:szCs w:val="18"/>
                <w:color w:val="auto"/>
              </w:rPr>
              <w:t>Inventories</w:t>
            </w:r>
          </w:p>
        </w:tc>
        <w:tc>
          <w:tcPr>
            <w:tcW w:w="134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3,066,276</w:t>
            </w:r>
          </w:p>
        </w:tc>
        <w:tc>
          <w:tcPr>
            <w:tcW w:w="122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3,163,816</w:t>
            </w:r>
          </w:p>
        </w:tc>
      </w:tr>
      <w:tr>
        <w:trPr>
          <w:trHeight w:val="216"/>
        </w:trPr>
        <w:tc>
          <w:tcPr>
            <w:tcW w:w="868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Notes receivable</w:t>
            </w:r>
          </w:p>
        </w:tc>
        <w:tc>
          <w:tcPr>
            <w:tcW w:w="13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103,522</w:t>
            </w:r>
          </w:p>
        </w:tc>
        <w:tc>
          <w:tcPr>
            <w:tcW w:w="122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w:t>
            </w:r>
          </w:p>
        </w:tc>
      </w:tr>
      <w:tr>
        <w:trPr>
          <w:trHeight w:val="216"/>
        </w:trPr>
        <w:tc>
          <w:tcPr>
            <w:tcW w:w="8680" w:type="dxa"/>
            <w:vAlign w:val="bottom"/>
          </w:tcPr>
          <w:p>
            <w:pPr>
              <w:spacing w:after="0"/>
              <w:rPr>
                <w:sz w:val="20"/>
                <w:szCs w:val="20"/>
                <w:color w:val="auto"/>
              </w:rPr>
            </w:pPr>
            <w:r>
              <w:rPr>
                <w:rFonts w:ascii="Times New Roman" w:cs="Times New Roman" w:eastAsia="Times New Roman" w:hAnsi="Times New Roman"/>
                <w:sz w:val="18"/>
                <w:szCs w:val="18"/>
                <w:color w:val="auto"/>
              </w:rPr>
              <w:t>Prepaid expenses and other current assets, net</w:t>
            </w:r>
          </w:p>
        </w:tc>
        <w:tc>
          <w:tcPr>
            <w:tcW w:w="134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2,027,376</w:t>
            </w:r>
          </w:p>
        </w:tc>
        <w:tc>
          <w:tcPr>
            <w:tcW w:w="122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1,615,100</w:t>
            </w:r>
          </w:p>
        </w:tc>
      </w:tr>
      <w:tr>
        <w:trPr>
          <w:trHeight w:val="249"/>
        </w:trPr>
        <w:tc>
          <w:tcPr>
            <w:tcW w:w="868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Due from related parties</w:t>
            </w:r>
          </w:p>
        </w:tc>
        <w:tc>
          <w:tcPr>
            <w:tcW w:w="13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4,634</w:t>
            </w:r>
          </w:p>
        </w:tc>
        <w:tc>
          <w:tcPr>
            <w:tcW w:w="122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w:t>
            </w:r>
          </w:p>
        </w:tc>
      </w:tr>
      <w:tr>
        <w:trPr>
          <w:trHeight w:val="210"/>
        </w:trPr>
        <w:tc>
          <w:tcPr>
            <w:tcW w:w="8680" w:type="dxa"/>
            <w:vAlign w:val="bottom"/>
            <w:tcBorders>
              <w:top w:val="single" w:sz="8" w:color="CCEEFF"/>
              <w:bottom w:val="single" w:sz="8" w:color="CCEEFF"/>
            </w:tcBorders>
          </w:tcPr>
          <w:p>
            <w:pPr>
              <w:spacing w:after="0" w:line="203" w:lineRule="exact"/>
              <w:rPr>
                <w:sz w:val="20"/>
                <w:szCs w:val="20"/>
                <w:color w:val="auto"/>
              </w:rPr>
            </w:pPr>
            <w:r>
              <w:rPr>
                <w:rFonts w:ascii="Times New Roman" w:cs="Times New Roman" w:eastAsia="Times New Roman" w:hAnsi="Times New Roman"/>
                <w:sz w:val="18"/>
                <w:szCs w:val="18"/>
                <w:b w:val="1"/>
                <w:bCs w:val="1"/>
                <w:color w:val="auto"/>
              </w:rPr>
              <w:t>Total current assets</w:t>
            </w:r>
          </w:p>
        </w:tc>
        <w:tc>
          <w:tcPr>
            <w:tcW w:w="1120" w:type="dxa"/>
            <w:vAlign w:val="bottom"/>
            <w:tcBorders>
              <w:top w:val="single" w:sz="8" w:color="auto"/>
              <w:bottom w:val="single" w:sz="8" w:color="auto"/>
            </w:tcBorders>
          </w:tcPr>
          <w:p>
            <w:pPr>
              <w:jc w:val="right"/>
              <w:spacing w:after="0" w:line="203" w:lineRule="exact"/>
              <w:rPr>
                <w:sz w:val="20"/>
                <w:szCs w:val="20"/>
                <w:color w:val="auto"/>
              </w:rPr>
            </w:pPr>
            <w:r>
              <w:rPr>
                <w:rFonts w:ascii="Times New Roman" w:cs="Times New Roman" w:eastAsia="Times New Roman" w:hAnsi="Times New Roman"/>
                <w:sz w:val="18"/>
                <w:szCs w:val="18"/>
                <w:color w:val="auto"/>
              </w:rPr>
              <w:t>18,975,555</w:t>
            </w:r>
          </w:p>
        </w:tc>
        <w:tc>
          <w:tcPr>
            <w:tcW w:w="220" w:type="dxa"/>
            <w:vAlign w:val="bottom"/>
            <w:tcBorders>
              <w:top w:val="single" w:sz="8" w:color="CCEEFF"/>
              <w:bottom w:val="single" w:sz="8" w:color="CCEEFF"/>
            </w:tcBorders>
          </w:tcPr>
          <w:p>
            <w:pPr>
              <w:spacing w:after="0"/>
              <w:rPr>
                <w:sz w:val="18"/>
                <w:szCs w:val="18"/>
                <w:color w:val="auto"/>
              </w:rPr>
            </w:pPr>
          </w:p>
        </w:tc>
        <w:tc>
          <w:tcPr>
            <w:tcW w:w="1120" w:type="dxa"/>
            <w:vAlign w:val="bottom"/>
            <w:tcBorders>
              <w:top w:val="single" w:sz="8" w:color="auto"/>
              <w:bottom w:val="single" w:sz="8" w:color="auto"/>
            </w:tcBorders>
          </w:tcPr>
          <w:p>
            <w:pPr>
              <w:jc w:val="right"/>
              <w:spacing w:after="0" w:line="203" w:lineRule="exact"/>
              <w:rPr>
                <w:sz w:val="20"/>
                <w:szCs w:val="20"/>
                <w:color w:val="auto"/>
              </w:rPr>
            </w:pPr>
            <w:r>
              <w:rPr>
                <w:rFonts w:ascii="Times New Roman" w:cs="Times New Roman" w:eastAsia="Times New Roman" w:hAnsi="Times New Roman"/>
                <w:sz w:val="18"/>
                <w:szCs w:val="18"/>
                <w:color w:val="auto"/>
              </w:rPr>
              <w:t>20,371,822</w:t>
            </w:r>
          </w:p>
        </w:tc>
        <w:tc>
          <w:tcPr>
            <w:tcW w:w="100" w:type="dxa"/>
            <w:vAlign w:val="bottom"/>
            <w:tcBorders>
              <w:top w:val="single" w:sz="8" w:color="CCEEFF"/>
              <w:bottom w:val="single" w:sz="8" w:color="CCEEFF"/>
            </w:tcBorders>
          </w:tcPr>
          <w:p>
            <w:pPr>
              <w:spacing w:after="0"/>
              <w:rPr>
                <w:sz w:val="18"/>
                <w:szCs w:val="18"/>
                <w:color w:val="auto"/>
              </w:rPr>
            </w:pPr>
          </w:p>
        </w:tc>
      </w:tr>
      <w:tr>
        <w:trPr>
          <w:trHeight w:val="216"/>
        </w:trPr>
        <w:tc>
          <w:tcPr>
            <w:tcW w:w="868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Property, plant and equipment, net</w:t>
            </w:r>
          </w:p>
        </w:tc>
        <w:tc>
          <w:tcPr>
            <w:tcW w:w="11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3,224,673</w:t>
            </w:r>
          </w:p>
        </w:tc>
        <w:tc>
          <w:tcPr>
            <w:tcW w:w="220" w:type="dxa"/>
            <w:vAlign w:val="bottom"/>
            <w:shd w:val="clear" w:color="auto" w:fill="CCEEFF"/>
          </w:tcPr>
          <w:p>
            <w:pPr>
              <w:spacing w:after="0"/>
              <w:rPr>
                <w:sz w:val="18"/>
                <w:szCs w:val="18"/>
                <w:color w:val="auto"/>
              </w:rPr>
            </w:pPr>
          </w:p>
        </w:tc>
        <w:tc>
          <w:tcPr>
            <w:tcW w:w="11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3,493,481</w:t>
            </w:r>
          </w:p>
        </w:tc>
        <w:tc>
          <w:tcPr>
            <w:tcW w:w="100" w:type="dxa"/>
            <w:vAlign w:val="bottom"/>
            <w:shd w:val="clear" w:color="auto" w:fill="CCEEFF"/>
          </w:tcPr>
          <w:p>
            <w:pPr>
              <w:spacing w:after="0"/>
              <w:rPr>
                <w:sz w:val="18"/>
                <w:szCs w:val="18"/>
                <w:color w:val="auto"/>
              </w:rPr>
            </w:pPr>
          </w:p>
        </w:tc>
      </w:tr>
      <w:tr>
        <w:trPr>
          <w:trHeight w:val="216"/>
        </w:trPr>
        <w:tc>
          <w:tcPr>
            <w:tcW w:w="8680" w:type="dxa"/>
            <w:vAlign w:val="bottom"/>
          </w:tcPr>
          <w:p>
            <w:pPr>
              <w:spacing w:after="0"/>
              <w:rPr>
                <w:sz w:val="20"/>
                <w:szCs w:val="20"/>
                <w:color w:val="auto"/>
              </w:rPr>
            </w:pPr>
            <w:r>
              <w:rPr>
                <w:rFonts w:ascii="Times New Roman" w:cs="Times New Roman" w:eastAsia="Times New Roman" w:hAnsi="Times New Roman"/>
                <w:sz w:val="18"/>
                <w:szCs w:val="18"/>
                <w:color w:val="auto"/>
              </w:rPr>
              <w:t>Right-of-use assets – Operating lease</w:t>
            </w:r>
          </w:p>
        </w:tc>
        <w:tc>
          <w:tcPr>
            <w:tcW w:w="134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983,097</w:t>
            </w:r>
          </w:p>
        </w:tc>
        <w:tc>
          <w:tcPr>
            <w:tcW w:w="122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1,531,941</w:t>
            </w:r>
          </w:p>
        </w:tc>
      </w:tr>
      <w:tr>
        <w:trPr>
          <w:trHeight w:val="216"/>
        </w:trPr>
        <w:tc>
          <w:tcPr>
            <w:tcW w:w="868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Other non-current assets</w:t>
            </w:r>
          </w:p>
        </w:tc>
        <w:tc>
          <w:tcPr>
            <w:tcW w:w="13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178,786</w:t>
            </w:r>
          </w:p>
        </w:tc>
        <w:tc>
          <w:tcPr>
            <w:tcW w:w="122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174,713</w:t>
            </w:r>
          </w:p>
        </w:tc>
      </w:tr>
      <w:tr>
        <w:trPr>
          <w:trHeight w:val="237"/>
        </w:trPr>
        <w:tc>
          <w:tcPr>
            <w:tcW w:w="8680" w:type="dxa"/>
            <w:vAlign w:val="bottom"/>
          </w:tcPr>
          <w:p>
            <w:pPr>
              <w:spacing w:after="0"/>
              <w:rPr>
                <w:sz w:val="20"/>
                <w:szCs w:val="20"/>
                <w:color w:val="auto"/>
              </w:rPr>
            </w:pPr>
            <w:r>
              <w:rPr>
                <w:rFonts w:ascii="Times New Roman" w:cs="Times New Roman" w:eastAsia="Times New Roman" w:hAnsi="Times New Roman"/>
                <w:sz w:val="18"/>
                <w:szCs w:val="18"/>
                <w:color w:val="auto"/>
              </w:rPr>
              <w:t>Deferred tax assets</w:t>
            </w:r>
          </w:p>
        </w:tc>
        <w:tc>
          <w:tcPr>
            <w:tcW w:w="134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92,026</w:t>
            </w:r>
          </w:p>
        </w:tc>
        <w:tc>
          <w:tcPr>
            <w:tcW w:w="122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93,026</w:t>
            </w:r>
          </w:p>
        </w:tc>
      </w:tr>
      <w:tr>
        <w:trPr>
          <w:trHeight w:val="236"/>
        </w:trPr>
        <w:tc>
          <w:tcPr>
            <w:tcW w:w="8680" w:type="dxa"/>
            <w:vAlign w:val="bottom"/>
            <w:tcBorders>
              <w:top w:val="single" w:sz="8" w:color="CCEEFF"/>
              <w:bottom w:val="single" w:sz="8" w:color="CCEEFF"/>
            </w:tcBorders>
            <w:shd w:val="clear" w:color="auto" w:fill="CCEEFF"/>
          </w:tcPr>
          <w:p>
            <w:pPr>
              <w:spacing w:after="0"/>
              <w:rPr>
                <w:sz w:val="20"/>
                <w:szCs w:val="20"/>
                <w:color w:val="auto"/>
              </w:rPr>
            </w:pPr>
            <w:r>
              <w:rPr>
                <w:rFonts w:ascii="Times New Roman" w:cs="Times New Roman" w:eastAsia="Times New Roman" w:hAnsi="Times New Roman"/>
                <w:sz w:val="18"/>
                <w:szCs w:val="18"/>
                <w:b w:val="1"/>
                <w:bCs w:val="1"/>
                <w:color w:val="auto"/>
              </w:rPr>
              <w:t>Total non-current assets</w:t>
            </w: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4,478,582</w:t>
            </w:r>
          </w:p>
        </w:tc>
        <w:tc>
          <w:tcPr>
            <w:tcW w:w="220" w:type="dxa"/>
            <w:vAlign w:val="bottom"/>
            <w:tcBorders>
              <w:top w:val="single" w:sz="8" w:color="CCEEFF"/>
              <w:bottom w:val="single" w:sz="8" w:color="CCEEFF"/>
            </w:tcBorders>
            <w:shd w:val="clear" w:color="auto" w:fill="CCEEFF"/>
          </w:tcPr>
          <w:p>
            <w:pPr>
              <w:spacing w:after="0"/>
              <w:rPr>
                <w:sz w:val="20"/>
                <w:szCs w:val="20"/>
                <w:color w:val="auto"/>
              </w:rPr>
            </w:pP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5,292,161</w:t>
            </w:r>
          </w:p>
        </w:tc>
        <w:tc>
          <w:tcPr>
            <w:tcW w:w="100" w:type="dxa"/>
            <w:vAlign w:val="bottom"/>
            <w:tcBorders>
              <w:top w:val="single" w:sz="8" w:color="CCEEFF"/>
              <w:bottom w:val="single" w:sz="8" w:color="CCEEFF"/>
            </w:tcBorders>
            <w:shd w:val="clear" w:color="auto" w:fill="CCEEFF"/>
          </w:tcPr>
          <w:p>
            <w:pPr>
              <w:spacing w:after="0"/>
              <w:rPr>
                <w:sz w:val="20"/>
                <w:szCs w:val="20"/>
                <w:color w:val="auto"/>
              </w:rPr>
            </w:pPr>
          </w:p>
        </w:tc>
      </w:tr>
      <w:tr>
        <w:trPr>
          <w:trHeight w:val="210"/>
        </w:trPr>
        <w:tc>
          <w:tcPr>
            <w:tcW w:w="8680" w:type="dxa"/>
            <w:vAlign w:val="bottom"/>
            <w:tcBorders>
              <w:bottom w:val="single" w:sz="8" w:color="CCEEFF"/>
            </w:tcBorders>
          </w:tcPr>
          <w:p>
            <w:pPr>
              <w:spacing w:after="0" w:line="203" w:lineRule="exact"/>
              <w:rPr>
                <w:sz w:val="20"/>
                <w:szCs w:val="20"/>
                <w:color w:val="auto"/>
              </w:rPr>
            </w:pPr>
            <w:r>
              <w:rPr>
                <w:rFonts w:ascii="Times New Roman" w:cs="Times New Roman" w:eastAsia="Times New Roman" w:hAnsi="Times New Roman"/>
                <w:sz w:val="18"/>
                <w:szCs w:val="18"/>
                <w:b w:val="1"/>
                <w:bCs w:val="1"/>
                <w:color w:val="auto"/>
              </w:rPr>
              <w:t>TOTAL ASSETS</w:t>
            </w:r>
          </w:p>
        </w:tc>
        <w:tc>
          <w:tcPr>
            <w:tcW w:w="1120" w:type="dxa"/>
            <w:vAlign w:val="bottom"/>
            <w:tcBorders>
              <w:bottom w:val="single" w:sz="8" w:color="auto"/>
            </w:tcBorders>
          </w:tcPr>
          <w:p>
            <w:pPr>
              <w:jc w:val="right"/>
              <w:spacing w:after="0" w:line="203" w:lineRule="exact"/>
              <w:rPr>
                <w:sz w:val="20"/>
                <w:szCs w:val="20"/>
                <w:color w:val="auto"/>
              </w:rPr>
            </w:pPr>
            <w:r>
              <w:rPr>
                <w:rFonts w:ascii="Times New Roman" w:cs="Times New Roman" w:eastAsia="Times New Roman" w:hAnsi="Times New Roman"/>
                <w:sz w:val="18"/>
                <w:szCs w:val="18"/>
                <w:color w:val="auto"/>
              </w:rPr>
              <w:t>23,454,137</w:t>
            </w:r>
          </w:p>
        </w:tc>
        <w:tc>
          <w:tcPr>
            <w:tcW w:w="220" w:type="dxa"/>
            <w:vAlign w:val="bottom"/>
            <w:tcBorders>
              <w:bottom w:val="single" w:sz="8" w:color="CCEEFF"/>
            </w:tcBorders>
          </w:tcPr>
          <w:p>
            <w:pPr>
              <w:spacing w:after="0"/>
              <w:rPr>
                <w:sz w:val="18"/>
                <w:szCs w:val="18"/>
                <w:color w:val="auto"/>
              </w:rPr>
            </w:pPr>
          </w:p>
        </w:tc>
        <w:tc>
          <w:tcPr>
            <w:tcW w:w="1120" w:type="dxa"/>
            <w:vAlign w:val="bottom"/>
            <w:tcBorders>
              <w:bottom w:val="single" w:sz="8" w:color="auto"/>
            </w:tcBorders>
          </w:tcPr>
          <w:p>
            <w:pPr>
              <w:jc w:val="right"/>
              <w:spacing w:after="0" w:line="203" w:lineRule="exact"/>
              <w:rPr>
                <w:sz w:val="20"/>
                <w:szCs w:val="20"/>
                <w:color w:val="auto"/>
              </w:rPr>
            </w:pPr>
            <w:r>
              <w:rPr>
                <w:rFonts w:ascii="Times New Roman" w:cs="Times New Roman" w:eastAsia="Times New Roman" w:hAnsi="Times New Roman"/>
                <w:sz w:val="18"/>
                <w:szCs w:val="18"/>
                <w:color w:val="auto"/>
              </w:rPr>
              <w:t>25,663,983</w:t>
            </w:r>
          </w:p>
        </w:tc>
        <w:tc>
          <w:tcPr>
            <w:tcW w:w="100" w:type="dxa"/>
            <w:vAlign w:val="bottom"/>
            <w:tcBorders>
              <w:bottom w:val="single" w:sz="8" w:color="CCEEFF"/>
            </w:tcBorders>
          </w:tcPr>
          <w:p>
            <w:pPr>
              <w:spacing w:after="0"/>
              <w:rPr>
                <w:sz w:val="18"/>
                <w:szCs w:val="18"/>
                <w:color w:val="auto"/>
              </w:rPr>
            </w:pPr>
          </w:p>
        </w:tc>
      </w:tr>
      <w:tr>
        <w:trPr>
          <w:trHeight w:val="135"/>
        </w:trPr>
        <w:tc>
          <w:tcPr>
            <w:tcW w:w="8680" w:type="dxa"/>
            <w:vAlign w:val="bottom"/>
            <w:shd w:val="clear" w:color="auto" w:fill="CCEEFF"/>
          </w:tcPr>
          <w:p>
            <w:pPr>
              <w:spacing w:after="0"/>
              <w:rPr>
                <w:sz w:val="11"/>
                <w:szCs w:val="11"/>
                <w:color w:val="auto"/>
              </w:rPr>
            </w:pPr>
          </w:p>
        </w:tc>
        <w:tc>
          <w:tcPr>
            <w:tcW w:w="112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1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216"/>
        </w:trPr>
        <w:tc>
          <w:tcPr>
            <w:tcW w:w="8680" w:type="dxa"/>
            <w:vAlign w:val="bottom"/>
          </w:tcPr>
          <w:p>
            <w:pPr>
              <w:spacing w:after="0"/>
              <w:rPr>
                <w:sz w:val="20"/>
                <w:szCs w:val="20"/>
                <w:color w:val="auto"/>
              </w:rPr>
            </w:pPr>
            <w:r>
              <w:rPr>
                <w:rFonts w:ascii="Times New Roman" w:cs="Times New Roman" w:eastAsia="Times New Roman" w:hAnsi="Times New Roman"/>
                <w:sz w:val="18"/>
                <w:szCs w:val="18"/>
                <w:b w:val="1"/>
                <w:bCs w:val="1"/>
                <w:color w:val="auto"/>
              </w:rPr>
              <w:t>Liabilities</w:t>
            </w:r>
          </w:p>
        </w:tc>
        <w:tc>
          <w:tcPr>
            <w:tcW w:w="11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868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b w:val="1"/>
                <w:bCs w:val="1"/>
                <w:color w:val="auto"/>
              </w:rPr>
              <w:t>Current liabilities:</w:t>
            </w:r>
          </w:p>
        </w:tc>
        <w:tc>
          <w:tcPr>
            <w:tcW w:w="11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6"/>
        </w:trPr>
        <w:tc>
          <w:tcPr>
            <w:tcW w:w="8680" w:type="dxa"/>
            <w:vAlign w:val="bottom"/>
          </w:tcPr>
          <w:p>
            <w:pPr>
              <w:spacing w:after="0"/>
              <w:rPr>
                <w:sz w:val="20"/>
                <w:szCs w:val="20"/>
                <w:color w:val="auto"/>
              </w:rPr>
            </w:pPr>
            <w:r>
              <w:rPr>
                <w:rFonts w:ascii="Times New Roman" w:cs="Times New Roman" w:eastAsia="Times New Roman" w:hAnsi="Times New Roman"/>
                <w:sz w:val="18"/>
                <w:szCs w:val="18"/>
                <w:color w:val="auto"/>
              </w:rPr>
              <w:t>Bank loans – current</w:t>
            </w:r>
          </w:p>
        </w:tc>
        <w:tc>
          <w:tcPr>
            <w:tcW w:w="134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685,016</w:t>
            </w:r>
          </w:p>
        </w:tc>
        <w:tc>
          <w:tcPr>
            <w:tcW w:w="122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702,949</w:t>
            </w:r>
          </w:p>
        </w:tc>
      </w:tr>
      <w:tr>
        <w:trPr>
          <w:trHeight w:val="216"/>
        </w:trPr>
        <w:tc>
          <w:tcPr>
            <w:tcW w:w="868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Operating lease liabilities – current</w:t>
            </w:r>
          </w:p>
        </w:tc>
        <w:tc>
          <w:tcPr>
            <w:tcW w:w="13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153,579</w:t>
            </w:r>
          </w:p>
        </w:tc>
        <w:tc>
          <w:tcPr>
            <w:tcW w:w="122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435,701</w:t>
            </w:r>
          </w:p>
        </w:tc>
      </w:tr>
      <w:tr>
        <w:trPr>
          <w:trHeight w:val="216"/>
        </w:trPr>
        <w:tc>
          <w:tcPr>
            <w:tcW w:w="8680" w:type="dxa"/>
            <w:vAlign w:val="bottom"/>
          </w:tcPr>
          <w:p>
            <w:pPr>
              <w:spacing w:after="0"/>
              <w:rPr>
                <w:sz w:val="20"/>
                <w:szCs w:val="20"/>
                <w:color w:val="auto"/>
              </w:rPr>
            </w:pPr>
            <w:r>
              <w:rPr>
                <w:rFonts w:ascii="Times New Roman" w:cs="Times New Roman" w:eastAsia="Times New Roman" w:hAnsi="Times New Roman"/>
                <w:sz w:val="18"/>
                <w:szCs w:val="18"/>
                <w:color w:val="auto"/>
              </w:rPr>
              <w:t>Operating lease liabilities – current – related parties</w:t>
            </w:r>
          </w:p>
        </w:tc>
        <w:tc>
          <w:tcPr>
            <w:tcW w:w="134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251,567</w:t>
            </w:r>
          </w:p>
        </w:tc>
        <w:tc>
          <w:tcPr>
            <w:tcW w:w="122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149,188</w:t>
            </w:r>
          </w:p>
        </w:tc>
      </w:tr>
      <w:tr>
        <w:trPr>
          <w:trHeight w:val="216"/>
        </w:trPr>
        <w:tc>
          <w:tcPr>
            <w:tcW w:w="868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Accounts payable</w:t>
            </w:r>
          </w:p>
        </w:tc>
        <w:tc>
          <w:tcPr>
            <w:tcW w:w="13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1,964,406</w:t>
            </w:r>
          </w:p>
        </w:tc>
        <w:tc>
          <w:tcPr>
            <w:tcW w:w="122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1,716,120</w:t>
            </w:r>
          </w:p>
        </w:tc>
      </w:tr>
      <w:tr>
        <w:trPr>
          <w:trHeight w:val="216"/>
        </w:trPr>
        <w:tc>
          <w:tcPr>
            <w:tcW w:w="8680" w:type="dxa"/>
            <w:vAlign w:val="bottom"/>
          </w:tcPr>
          <w:p>
            <w:pPr>
              <w:spacing w:after="0"/>
              <w:rPr>
                <w:sz w:val="20"/>
                <w:szCs w:val="20"/>
                <w:color w:val="auto"/>
              </w:rPr>
            </w:pPr>
            <w:r>
              <w:rPr>
                <w:rFonts w:ascii="Times New Roman" w:cs="Times New Roman" w:eastAsia="Times New Roman" w:hAnsi="Times New Roman"/>
                <w:sz w:val="18"/>
                <w:szCs w:val="18"/>
                <w:color w:val="auto"/>
              </w:rPr>
              <w:t>Accounts payable – related parties</w:t>
            </w:r>
          </w:p>
        </w:tc>
        <w:tc>
          <w:tcPr>
            <w:tcW w:w="134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2,302,962</w:t>
            </w:r>
          </w:p>
        </w:tc>
        <w:tc>
          <w:tcPr>
            <w:tcW w:w="122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1,779,196</w:t>
            </w:r>
          </w:p>
        </w:tc>
      </w:tr>
      <w:tr>
        <w:trPr>
          <w:trHeight w:val="216"/>
        </w:trPr>
        <w:tc>
          <w:tcPr>
            <w:tcW w:w="868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Accruals and other current liabilities</w:t>
            </w:r>
          </w:p>
        </w:tc>
        <w:tc>
          <w:tcPr>
            <w:tcW w:w="13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679,227</w:t>
            </w:r>
          </w:p>
        </w:tc>
        <w:tc>
          <w:tcPr>
            <w:tcW w:w="122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787,799</w:t>
            </w:r>
          </w:p>
        </w:tc>
      </w:tr>
      <w:tr>
        <w:trPr>
          <w:trHeight w:val="216"/>
        </w:trPr>
        <w:tc>
          <w:tcPr>
            <w:tcW w:w="8680" w:type="dxa"/>
            <w:vAlign w:val="bottom"/>
          </w:tcPr>
          <w:p>
            <w:pPr>
              <w:spacing w:after="0"/>
              <w:rPr>
                <w:sz w:val="20"/>
                <w:szCs w:val="20"/>
                <w:color w:val="auto"/>
              </w:rPr>
            </w:pPr>
            <w:r>
              <w:rPr>
                <w:rFonts w:ascii="Times New Roman" w:cs="Times New Roman" w:eastAsia="Times New Roman" w:hAnsi="Times New Roman"/>
                <w:sz w:val="18"/>
                <w:szCs w:val="18"/>
                <w:color w:val="auto"/>
              </w:rPr>
              <w:t>Contract liabilities</w:t>
            </w:r>
          </w:p>
        </w:tc>
        <w:tc>
          <w:tcPr>
            <w:tcW w:w="134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427,110</w:t>
            </w:r>
          </w:p>
        </w:tc>
        <w:tc>
          <w:tcPr>
            <w:tcW w:w="122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140,235</w:t>
            </w:r>
          </w:p>
        </w:tc>
      </w:tr>
      <w:tr>
        <w:trPr>
          <w:trHeight w:val="216"/>
        </w:trPr>
        <w:tc>
          <w:tcPr>
            <w:tcW w:w="868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Loan from related parties</w:t>
            </w:r>
          </w:p>
        </w:tc>
        <w:tc>
          <w:tcPr>
            <w:tcW w:w="13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200,000</w:t>
            </w:r>
          </w:p>
        </w:tc>
        <w:tc>
          <w:tcPr>
            <w:tcW w:w="122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429,175</w:t>
            </w:r>
          </w:p>
        </w:tc>
      </w:tr>
      <w:tr>
        <w:trPr>
          <w:trHeight w:val="237"/>
        </w:trPr>
        <w:tc>
          <w:tcPr>
            <w:tcW w:w="8680" w:type="dxa"/>
            <w:vAlign w:val="bottom"/>
          </w:tcPr>
          <w:p>
            <w:pPr>
              <w:spacing w:after="0"/>
              <w:rPr>
                <w:sz w:val="20"/>
                <w:szCs w:val="20"/>
                <w:color w:val="auto"/>
              </w:rPr>
            </w:pPr>
            <w:r>
              <w:rPr>
                <w:rFonts w:ascii="Times New Roman" w:cs="Times New Roman" w:eastAsia="Times New Roman" w:hAnsi="Times New Roman"/>
                <w:sz w:val="18"/>
                <w:szCs w:val="18"/>
                <w:color w:val="auto"/>
              </w:rPr>
              <w:t>Income taxes payable</w:t>
            </w:r>
          </w:p>
        </w:tc>
        <w:tc>
          <w:tcPr>
            <w:tcW w:w="134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423,693</w:t>
            </w:r>
          </w:p>
        </w:tc>
        <w:tc>
          <w:tcPr>
            <w:tcW w:w="122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1,105,748</w:t>
            </w:r>
          </w:p>
        </w:tc>
      </w:tr>
      <w:tr>
        <w:trPr>
          <w:trHeight w:val="223"/>
        </w:trPr>
        <w:tc>
          <w:tcPr>
            <w:tcW w:w="8680" w:type="dxa"/>
            <w:vAlign w:val="bottom"/>
            <w:tcBorders>
              <w:top w:val="single" w:sz="8" w:color="CCEEFF"/>
              <w:bottom w:val="single" w:sz="8" w:color="CCEEFF"/>
            </w:tcBorders>
            <w:shd w:val="clear" w:color="auto" w:fill="CCEEFF"/>
          </w:tcPr>
          <w:p>
            <w:pPr>
              <w:spacing w:after="0"/>
              <w:rPr>
                <w:sz w:val="20"/>
                <w:szCs w:val="20"/>
                <w:color w:val="auto"/>
              </w:rPr>
            </w:pPr>
            <w:r>
              <w:rPr>
                <w:rFonts w:ascii="Times New Roman" w:cs="Times New Roman" w:eastAsia="Times New Roman" w:hAnsi="Times New Roman"/>
                <w:sz w:val="18"/>
                <w:szCs w:val="18"/>
                <w:b w:val="1"/>
                <w:bCs w:val="1"/>
                <w:color w:val="auto"/>
              </w:rPr>
              <w:t>Total current liabilities</w:t>
            </w: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7,087,560</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7,289,739</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16"/>
        </w:trPr>
        <w:tc>
          <w:tcPr>
            <w:tcW w:w="868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868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b w:val="1"/>
                <w:bCs w:val="1"/>
                <w:color w:val="auto"/>
              </w:rPr>
              <w:t>Non-current liabilities</w:t>
            </w:r>
          </w:p>
        </w:tc>
        <w:tc>
          <w:tcPr>
            <w:tcW w:w="11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6"/>
        </w:trPr>
        <w:tc>
          <w:tcPr>
            <w:tcW w:w="8680" w:type="dxa"/>
            <w:vAlign w:val="bottom"/>
          </w:tcPr>
          <w:p>
            <w:pPr>
              <w:spacing w:after="0"/>
              <w:rPr>
                <w:sz w:val="20"/>
                <w:szCs w:val="20"/>
                <w:color w:val="auto"/>
              </w:rPr>
            </w:pPr>
            <w:r>
              <w:rPr>
                <w:rFonts w:ascii="Times New Roman" w:cs="Times New Roman" w:eastAsia="Times New Roman" w:hAnsi="Times New Roman"/>
                <w:sz w:val="18"/>
                <w:szCs w:val="18"/>
                <w:color w:val="auto"/>
              </w:rPr>
              <w:t>Bank loans – non-current</w:t>
            </w:r>
          </w:p>
        </w:tc>
        <w:tc>
          <w:tcPr>
            <w:tcW w:w="134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706,811</w:t>
            </w:r>
          </w:p>
        </w:tc>
        <w:tc>
          <w:tcPr>
            <w:tcW w:w="122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345,859</w:t>
            </w:r>
          </w:p>
        </w:tc>
      </w:tr>
      <w:tr>
        <w:trPr>
          <w:trHeight w:val="216"/>
        </w:trPr>
        <w:tc>
          <w:tcPr>
            <w:tcW w:w="868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Operating lease liabilities – non-current</w:t>
            </w:r>
          </w:p>
        </w:tc>
        <w:tc>
          <w:tcPr>
            <w:tcW w:w="13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593,749</w:t>
            </w:r>
          </w:p>
        </w:tc>
        <w:tc>
          <w:tcPr>
            <w:tcW w:w="122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989,656</w:t>
            </w:r>
          </w:p>
        </w:tc>
      </w:tr>
      <w:tr>
        <w:trPr>
          <w:trHeight w:val="237"/>
        </w:trPr>
        <w:tc>
          <w:tcPr>
            <w:tcW w:w="8680" w:type="dxa"/>
            <w:vAlign w:val="bottom"/>
          </w:tcPr>
          <w:p>
            <w:pPr>
              <w:spacing w:after="0"/>
              <w:rPr>
                <w:sz w:val="20"/>
                <w:szCs w:val="20"/>
                <w:color w:val="auto"/>
              </w:rPr>
            </w:pPr>
            <w:r>
              <w:rPr>
                <w:rFonts w:ascii="Times New Roman" w:cs="Times New Roman" w:eastAsia="Times New Roman" w:hAnsi="Times New Roman"/>
                <w:sz w:val="18"/>
                <w:szCs w:val="18"/>
                <w:color w:val="auto"/>
              </w:rPr>
              <w:t>Operating lease liabilities – non-current – related parties</w:t>
            </w:r>
          </w:p>
        </w:tc>
        <w:tc>
          <w:tcPr>
            <w:tcW w:w="134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21,617</w:t>
            </w:r>
          </w:p>
        </w:tc>
        <w:tc>
          <w:tcPr>
            <w:tcW w:w="122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w:t>
            </w:r>
          </w:p>
        </w:tc>
      </w:tr>
      <w:tr>
        <w:trPr>
          <w:trHeight w:val="236"/>
        </w:trPr>
        <w:tc>
          <w:tcPr>
            <w:tcW w:w="8680" w:type="dxa"/>
            <w:vAlign w:val="bottom"/>
            <w:tcBorders>
              <w:top w:val="single" w:sz="8" w:color="CCEEFF"/>
              <w:bottom w:val="single" w:sz="8" w:color="CCEEFF"/>
            </w:tcBorders>
            <w:shd w:val="clear" w:color="auto" w:fill="CCEEFF"/>
          </w:tcPr>
          <w:p>
            <w:pPr>
              <w:spacing w:after="0"/>
              <w:rPr>
                <w:sz w:val="20"/>
                <w:szCs w:val="20"/>
                <w:color w:val="auto"/>
              </w:rPr>
            </w:pPr>
            <w:r>
              <w:rPr>
                <w:rFonts w:ascii="Times New Roman" w:cs="Times New Roman" w:eastAsia="Times New Roman" w:hAnsi="Times New Roman"/>
                <w:sz w:val="18"/>
                <w:szCs w:val="18"/>
                <w:b w:val="1"/>
                <w:bCs w:val="1"/>
                <w:color w:val="auto"/>
              </w:rPr>
              <w:t>Total non-current liabilities</w:t>
            </w: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1,322,177</w:t>
            </w:r>
          </w:p>
        </w:tc>
        <w:tc>
          <w:tcPr>
            <w:tcW w:w="220" w:type="dxa"/>
            <w:vAlign w:val="bottom"/>
            <w:tcBorders>
              <w:top w:val="single" w:sz="8" w:color="CCEEFF"/>
              <w:bottom w:val="single" w:sz="8" w:color="CCEEFF"/>
            </w:tcBorders>
            <w:shd w:val="clear" w:color="auto" w:fill="CCEEFF"/>
          </w:tcPr>
          <w:p>
            <w:pPr>
              <w:spacing w:after="0"/>
              <w:rPr>
                <w:sz w:val="20"/>
                <w:szCs w:val="20"/>
                <w:color w:val="auto"/>
              </w:rPr>
            </w:pP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1,335,515</w:t>
            </w:r>
          </w:p>
        </w:tc>
        <w:tc>
          <w:tcPr>
            <w:tcW w:w="100" w:type="dxa"/>
            <w:vAlign w:val="bottom"/>
            <w:tcBorders>
              <w:top w:val="single" w:sz="8" w:color="CCEEFF"/>
              <w:bottom w:val="single" w:sz="8" w:color="CCEEFF"/>
            </w:tcBorders>
            <w:shd w:val="clear" w:color="auto" w:fill="CCEEFF"/>
          </w:tcPr>
          <w:p>
            <w:pPr>
              <w:spacing w:after="0"/>
              <w:rPr>
                <w:sz w:val="20"/>
                <w:szCs w:val="20"/>
                <w:color w:val="auto"/>
              </w:rPr>
            </w:pPr>
          </w:p>
        </w:tc>
      </w:tr>
      <w:tr>
        <w:trPr>
          <w:trHeight w:val="210"/>
        </w:trPr>
        <w:tc>
          <w:tcPr>
            <w:tcW w:w="8680" w:type="dxa"/>
            <w:vAlign w:val="bottom"/>
            <w:tcBorders>
              <w:bottom w:val="single" w:sz="8" w:color="CCEEFF"/>
            </w:tcBorders>
          </w:tcPr>
          <w:p>
            <w:pPr>
              <w:spacing w:after="0" w:line="203" w:lineRule="exact"/>
              <w:rPr>
                <w:sz w:val="20"/>
                <w:szCs w:val="20"/>
                <w:color w:val="auto"/>
              </w:rPr>
            </w:pPr>
            <w:r>
              <w:rPr>
                <w:rFonts w:ascii="Times New Roman" w:cs="Times New Roman" w:eastAsia="Times New Roman" w:hAnsi="Times New Roman"/>
                <w:sz w:val="18"/>
                <w:szCs w:val="18"/>
                <w:b w:val="1"/>
                <w:bCs w:val="1"/>
                <w:color w:val="auto"/>
              </w:rPr>
              <w:t>TOTAL LIABILITIES</w:t>
            </w:r>
          </w:p>
        </w:tc>
        <w:tc>
          <w:tcPr>
            <w:tcW w:w="1120" w:type="dxa"/>
            <w:vAlign w:val="bottom"/>
            <w:tcBorders>
              <w:bottom w:val="single" w:sz="8" w:color="auto"/>
            </w:tcBorders>
          </w:tcPr>
          <w:p>
            <w:pPr>
              <w:jc w:val="right"/>
              <w:spacing w:after="0" w:line="203" w:lineRule="exact"/>
              <w:rPr>
                <w:sz w:val="20"/>
                <w:szCs w:val="20"/>
                <w:color w:val="auto"/>
              </w:rPr>
            </w:pPr>
            <w:r>
              <w:rPr>
                <w:rFonts w:ascii="Times New Roman" w:cs="Times New Roman" w:eastAsia="Times New Roman" w:hAnsi="Times New Roman"/>
                <w:sz w:val="18"/>
                <w:szCs w:val="18"/>
                <w:color w:val="auto"/>
              </w:rPr>
              <w:t>8,409,737</w:t>
            </w:r>
          </w:p>
        </w:tc>
        <w:tc>
          <w:tcPr>
            <w:tcW w:w="220" w:type="dxa"/>
            <w:vAlign w:val="bottom"/>
            <w:tcBorders>
              <w:bottom w:val="single" w:sz="8" w:color="CCEEFF"/>
            </w:tcBorders>
          </w:tcPr>
          <w:p>
            <w:pPr>
              <w:spacing w:after="0"/>
              <w:rPr>
                <w:sz w:val="18"/>
                <w:szCs w:val="18"/>
                <w:color w:val="auto"/>
              </w:rPr>
            </w:pPr>
          </w:p>
        </w:tc>
        <w:tc>
          <w:tcPr>
            <w:tcW w:w="1120" w:type="dxa"/>
            <w:vAlign w:val="bottom"/>
            <w:tcBorders>
              <w:bottom w:val="single" w:sz="8" w:color="auto"/>
            </w:tcBorders>
          </w:tcPr>
          <w:p>
            <w:pPr>
              <w:jc w:val="right"/>
              <w:spacing w:after="0" w:line="203" w:lineRule="exact"/>
              <w:rPr>
                <w:sz w:val="20"/>
                <w:szCs w:val="20"/>
                <w:color w:val="auto"/>
              </w:rPr>
            </w:pPr>
            <w:r>
              <w:rPr>
                <w:rFonts w:ascii="Times New Roman" w:cs="Times New Roman" w:eastAsia="Times New Roman" w:hAnsi="Times New Roman"/>
                <w:sz w:val="18"/>
                <w:szCs w:val="18"/>
                <w:color w:val="auto"/>
              </w:rPr>
              <w:t>8,625,254</w:t>
            </w:r>
          </w:p>
        </w:tc>
        <w:tc>
          <w:tcPr>
            <w:tcW w:w="100" w:type="dxa"/>
            <w:vAlign w:val="bottom"/>
            <w:tcBorders>
              <w:bottom w:val="single" w:sz="8" w:color="CCEEFF"/>
            </w:tcBorders>
          </w:tcPr>
          <w:p>
            <w:pPr>
              <w:spacing w:after="0"/>
              <w:rPr>
                <w:sz w:val="18"/>
                <w:szCs w:val="18"/>
                <w:color w:val="auto"/>
              </w:rPr>
            </w:pPr>
          </w:p>
        </w:tc>
      </w:tr>
      <w:tr>
        <w:trPr>
          <w:trHeight w:val="135"/>
        </w:trPr>
        <w:tc>
          <w:tcPr>
            <w:tcW w:w="8680" w:type="dxa"/>
            <w:vAlign w:val="bottom"/>
            <w:shd w:val="clear" w:color="auto" w:fill="CCEEFF"/>
          </w:tcPr>
          <w:p>
            <w:pPr>
              <w:spacing w:after="0"/>
              <w:rPr>
                <w:sz w:val="11"/>
                <w:szCs w:val="11"/>
                <w:color w:val="auto"/>
              </w:rPr>
            </w:pPr>
          </w:p>
        </w:tc>
        <w:tc>
          <w:tcPr>
            <w:tcW w:w="112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1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216"/>
        </w:trPr>
        <w:tc>
          <w:tcPr>
            <w:tcW w:w="8680" w:type="dxa"/>
            <w:vAlign w:val="bottom"/>
          </w:tcPr>
          <w:p>
            <w:pPr>
              <w:spacing w:after="0"/>
              <w:rPr>
                <w:sz w:val="20"/>
                <w:szCs w:val="20"/>
                <w:color w:val="auto"/>
              </w:rPr>
            </w:pPr>
            <w:r>
              <w:rPr>
                <w:rFonts w:ascii="Times New Roman" w:cs="Times New Roman" w:eastAsia="Times New Roman" w:hAnsi="Times New Roman"/>
                <w:sz w:val="18"/>
                <w:szCs w:val="18"/>
                <w:b w:val="1"/>
                <w:bCs w:val="1"/>
                <w:color w:val="auto"/>
              </w:rPr>
              <w:t>Shareholders’ equity</w:t>
            </w:r>
          </w:p>
        </w:tc>
        <w:tc>
          <w:tcPr>
            <w:tcW w:w="11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01"/>
        </w:trPr>
        <w:tc>
          <w:tcPr>
            <w:tcW w:w="8680" w:type="dxa"/>
            <w:vAlign w:val="bottom"/>
            <w:shd w:val="clear" w:color="auto" w:fill="CCEEFF"/>
          </w:tcPr>
          <w:p>
            <w:pPr>
              <w:spacing w:after="0" w:line="201" w:lineRule="exact"/>
              <w:rPr>
                <w:sz w:val="20"/>
                <w:szCs w:val="20"/>
                <w:color w:val="auto"/>
              </w:rPr>
            </w:pPr>
            <w:r>
              <w:rPr>
                <w:rFonts w:ascii="Times New Roman" w:cs="Times New Roman" w:eastAsia="Times New Roman" w:hAnsi="Times New Roman"/>
                <w:sz w:val="18"/>
                <w:szCs w:val="18"/>
                <w:color w:val="auto"/>
              </w:rPr>
              <w:t>Class A ordinary shares (US$0.000375 par value each; 133,000,000 shares authorized; 1,652,701 shares issued and</w:t>
            </w:r>
          </w:p>
        </w:tc>
        <w:tc>
          <w:tcPr>
            <w:tcW w:w="11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r>
      <w:tr>
        <w:trPr>
          <w:trHeight w:val="271"/>
        </w:trPr>
        <w:tc>
          <w:tcPr>
            <w:tcW w:w="8680" w:type="dxa"/>
            <w:vAlign w:val="bottom"/>
            <w:shd w:val="clear" w:color="auto" w:fill="CCEEFF"/>
          </w:tcPr>
          <w:p>
            <w:pPr>
              <w:ind w:left="340"/>
              <w:spacing w:after="0" w:line="271" w:lineRule="exact"/>
              <w:rPr>
                <w:sz w:val="20"/>
                <w:szCs w:val="20"/>
                <w:color w:val="auto"/>
              </w:rPr>
            </w:pPr>
            <w:r>
              <w:rPr>
                <w:rFonts w:ascii="Times New Roman" w:cs="Times New Roman" w:eastAsia="Times New Roman" w:hAnsi="Times New Roman"/>
                <w:sz w:val="18"/>
                <w:szCs w:val="18"/>
                <w:color w:val="auto"/>
              </w:rPr>
              <w:t xml:space="preserve">outstanding respectively) </w:t>
            </w:r>
            <w:r>
              <w:rPr>
                <w:rFonts w:ascii="Times New Roman" w:cs="Times New Roman" w:eastAsia="Times New Roman" w:hAnsi="Times New Roman"/>
                <w:sz w:val="29"/>
                <w:szCs w:val="29"/>
                <w:color w:val="auto"/>
                <w:vertAlign w:val="superscript"/>
              </w:rPr>
              <w:t>(1)</w:t>
            </w:r>
          </w:p>
        </w:tc>
        <w:tc>
          <w:tcPr>
            <w:tcW w:w="13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1,410</w:t>
            </w:r>
          </w:p>
        </w:tc>
        <w:tc>
          <w:tcPr>
            <w:tcW w:w="122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615</w:t>
            </w:r>
          </w:p>
        </w:tc>
      </w:tr>
      <w:tr>
        <w:trPr>
          <w:trHeight w:val="201"/>
        </w:trPr>
        <w:tc>
          <w:tcPr>
            <w:tcW w:w="8680" w:type="dxa"/>
            <w:vAlign w:val="bottom"/>
          </w:tcPr>
          <w:p>
            <w:pPr>
              <w:spacing w:after="0" w:line="201" w:lineRule="exact"/>
              <w:rPr>
                <w:sz w:val="20"/>
                <w:szCs w:val="20"/>
                <w:color w:val="auto"/>
              </w:rPr>
            </w:pPr>
            <w:r>
              <w:rPr>
                <w:rFonts w:ascii="Times New Roman" w:cs="Times New Roman" w:eastAsia="Times New Roman" w:hAnsi="Times New Roman"/>
                <w:sz w:val="18"/>
                <w:szCs w:val="18"/>
                <w:color w:val="auto"/>
              </w:rPr>
              <w:t>Class B ordinary shares ($US$0.000375 par value per share, 3,000,000 shares authorized; 2,109,000 issued and</w:t>
            </w:r>
          </w:p>
        </w:tc>
        <w:tc>
          <w:tcPr>
            <w:tcW w:w="11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71"/>
        </w:trPr>
        <w:tc>
          <w:tcPr>
            <w:tcW w:w="8680" w:type="dxa"/>
            <w:vAlign w:val="bottom"/>
          </w:tcPr>
          <w:p>
            <w:pPr>
              <w:ind w:left="340"/>
              <w:spacing w:after="0" w:line="271" w:lineRule="exact"/>
              <w:rPr>
                <w:sz w:val="20"/>
                <w:szCs w:val="20"/>
                <w:color w:val="auto"/>
              </w:rPr>
            </w:pPr>
            <w:r>
              <w:rPr>
                <w:rFonts w:ascii="Times New Roman" w:cs="Times New Roman" w:eastAsia="Times New Roman" w:hAnsi="Times New Roman"/>
                <w:sz w:val="18"/>
                <w:szCs w:val="18"/>
                <w:color w:val="auto"/>
              </w:rPr>
              <w:t xml:space="preserve">outstanding as of September 30, 2025) </w:t>
            </w:r>
            <w:r>
              <w:rPr>
                <w:rFonts w:ascii="Times New Roman" w:cs="Times New Roman" w:eastAsia="Times New Roman" w:hAnsi="Times New Roman"/>
                <w:sz w:val="29"/>
                <w:szCs w:val="29"/>
                <w:color w:val="auto"/>
                <w:vertAlign w:val="superscript"/>
              </w:rPr>
              <w:t>(1)</w:t>
            </w:r>
          </w:p>
        </w:tc>
        <w:tc>
          <w:tcPr>
            <w:tcW w:w="134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w:t>
            </w:r>
          </w:p>
        </w:tc>
        <w:tc>
          <w:tcPr>
            <w:tcW w:w="122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795</w:t>
            </w:r>
          </w:p>
        </w:tc>
      </w:tr>
      <w:tr>
        <w:trPr>
          <w:trHeight w:val="216"/>
        </w:trPr>
        <w:tc>
          <w:tcPr>
            <w:tcW w:w="868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Additional Paid-in Capital</w:t>
            </w:r>
          </w:p>
        </w:tc>
        <w:tc>
          <w:tcPr>
            <w:tcW w:w="13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6,193,646</w:t>
            </w:r>
          </w:p>
        </w:tc>
        <w:tc>
          <w:tcPr>
            <w:tcW w:w="122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6,193,646</w:t>
            </w:r>
          </w:p>
        </w:tc>
      </w:tr>
      <w:tr>
        <w:trPr>
          <w:trHeight w:val="216"/>
        </w:trPr>
        <w:tc>
          <w:tcPr>
            <w:tcW w:w="8680" w:type="dxa"/>
            <w:vAlign w:val="bottom"/>
          </w:tcPr>
          <w:p>
            <w:pPr>
              <w:spacing w:after="0"/>
              <w:rPr>
                <w:sz w:val="20"/>
                <w:szCs w:val="20"/>
                <w:color w:val="auto"/>
              </w:rPr>
            </w:pPr>
            <w:r>
              <w:rPr>
                <w:rFonts w:ascii="Times New Roman" w:cs="Times New Roman" w:eastAsia="Times New Roman" w:hAnsi="Times New Roman"/>
                <w:sz w:val="18"/>
                <w:szCs w:val="18"/>
                <w:color w:val="auto"/>
              </w:rPr>
              <w:t>Accumulated other comprehensive income/(loss)</w:t>
            </w:r>
          </w:p>
        </w:tc>
        <w:tc>
          <w:tcPr>
            <w:tcW w:w="1340" w:type="dxa"/>
            <w:vAlign w:val="bottom"/>
            <w:gridSpan w:val="2"/>
          </w:tcPr>
          <w:p>
            <w:pPr>
              <w:jc w:val="right"/>
              <w:ind w:right="160"/>
              <w:spacing w:after="0"/>
              <w:rPr>
                <w:sz w:val="20"/>
                <w:szCs w:val="20"/>
                <w:color w:val="auto"/>
              </w:rPr>
            </w:pPr>
            <w:r>
              <w:rPr>
                <w:rFonts w:ascii="Times New Roman" w:cs="Times New Roman" w:eastAsia="Times New Roman" w:hAnsi="Times New Roman"/>
                <w:sz w:val="18"/>
                <w:szCs w:val="18"/>
                <w:color w:val="auto"/>
              </w:rPr>
              <w:t>(23,364)</w:t>
            </w:r>
          </w:p>
        </w:tc>
        <w:tc>
          <w:tcPr>
            <w:tcW w:w="1220" w:type="dxa"/>
            <w:vAlign w:val="bottom"/>
            <w:gridSpan w:val="2"/>
          </w:tcPr>
          <w:p>
            <w:pPr>
              <w:jc w:val="right"/>
              <w:ind w:right="40"/>
              <w:spacing w:after="0"/>
              <w:rPr>
                <w:sz w:val="20"/>
                <w:szCs w:val="20"/>
                <w:color w:val="auto"/>
              </w:rPr>
            </w:pPr>
            <w:r>
              <w:rPr>
                <w:rFonts w:ascii="Times New Roman" w:cs="Times New Roman" w:eastAsia="Times New Roman" w:hAnsi="Times New Roman"/>
                <w:sz w:val="18"/>
                <w:szCs w:val="18"/>
                <w:color w:val="auto"/>
              </w:rPr>
              <w:t>(86,874)</w:t>
            </w:r>
          </w:p>
        </w:tc>
      </w:tr>
      <w:tr>
        <w:trPr>
          <w:trHeight w:val="216"/>
        </w:trPr>
        <w:tc>
          <w:tcPr>
            <w:tcW w:w="868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Non-controlling interests</w:t>
            </w:r>
          </w:p>
        </w:tc>
        <w:tc>
          <w:tcPr>
            <w:tcW w:w="13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405,122</w:t>
            </w:r>
          </w:p>
        </w:tc>
        <w:tc>
          <w:tcPr>
            <w:tcW w:w="122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388,585</w:t>
            </w:r>
          </w:p>
        </w:tc>
      </w:tr>
      <w:tr>
        <w:trPr>
          <w:trHeight w:val="216"/>
        </w:trPr>
        <w:tc>
          <w:tcPr>
            <w:tcW w:w="8680" w:type="dxa"/>
            <w:vAlign w:val="bottom"/>
          </w:tcPr>
          <w:p>
            <w:pPr>
              <w:spacing w:after="0"/>
              <w:rPr>
                <w:sz w:val="20"/>
                <w:szCs w:val="20"/>
                <w:color w:val="auto"/>
              </w:rPr>
            </w:pPr>
            <w:r>
              <w:rPr>
                <w:rFonts w:ascii="Times New Roman" w:cs="Times New Roman" w:eastAsia="Times New Roman" w:hAnsi="Times New Roman"/>
                <w:sz w:val="18"/>
                <w:szCs w:val="18"/>
                <w:color w:val="auto"/>
              </w:rPr>
              <w:t>Treasury stock</w:t>
            </w:r>
          </w:p>
        </w:tc>
        <w:tc>
          <w:tcPr>
            <w:tcW w:w="134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w:t>
            </w:r>
          </w:p>
        </w:tc>
        <w:tc>
          <w:tcPr>
            <w:tcW w:w="1220" w:type="dxa"/>
            <w:vAlign w:val="bottom"/>
            <w:gridSpan w:val="2"/>
          </w:tcPr>
          <w:p>
            <w:pPr>
              <w:jc w:val="right"/>
              <w:ind w:right="40"/>
              <w:spacing w:after="0"/>
              <w:rPr>
                <w:sz w:val="20"/>
                <w:szCs w:val="20"/>
                <w:color w:val="auto"/>
              </w:rPr>
            </w:pPr>
            <w:r>
              <w:rPr>
                <w:rFonts w:ascii="Times New Roman" w:cs="Times New Roman" w:eastAsia="Times New Roman" w:hAnsi="Times New Roman"/>
                <w:sz w:val="18"/>
                <w:szCs w:val="18"/>
                <w:color w:val="auto"/>
              </w:rPr>
              <w:t>(245,037)</w:t>
            </w:r>
          </w:p>
        </w:tc>
      </w:tr>
      <w:tr>
        <w:trPr>
          <w:trHeight w:val="249"/>
        </w:trPr>
        <w:tc>
          <w:tcPr>
            <w:tcW w:w="868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Retained earnings</w:t>
            </w:r>
          </w:p>
        </w:tc>
        <w:tc>
          <w:tcPr>
            <w:tcW w:w="13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8,467,586</w:t>
            </w:r>
          </w:p>
        </w:tc>
        <w:tc>
          <w:tcPr>
            <w:tcW w:w="122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10,786,999</w:t>
            </w:r>
          </w:p>
        </w:tc>
      </w:tr>
      <w:tr>
        <w:trPr>
          <w:trHeight w:val="210"/>
        </w:trPr>
        <w:tc>
          <w:tcPr>
            <w:tcW w:w="8680" w:type="dxa"/>
            <w:vAlign w:val="bottom"/>
            <w:tcBorders>
              <w:top w:val="single" w:sz="8" w:color="CCEEFF"/>
              <w:bottom w:val="single" w:sz="8" w:color="CCEEFF"/>
            </w:tcBorders>
          </w:tcPr>
          <w:p>
            <w:pPr>
              <w:spacing w:after="0" w:line="203" w:lineRule="exact"/>
              <w:rPr>
                <w:sz w:val="20"/>
                <w:szCs w:val="20"/>
                <w:color w:val="auto"/>
              </w:rPr>
            </w:pPr>
            <w:r>
              <w:rPr>
                <w:rFonts w:ascii="Times New Roman" w:cs="Times New Roman" w:eastAsia="Times New Roman" w:hAnsi="Times New Roman"/>
                <w:sz w:val="18"/>
                <w:szCs w:val="18"/>
                <w:b w:val="1"/>
                <w:bCs w:val="1"/>
                <w:color w:val="auto"/>
              </w:rPr>
              <w:t>Total shareholders’ equity</w:t>
            </w:r>
          </w:p>
        </w:tc>
        <w:tc>
          <w:tcPr>
            <w:tcW w:w="1120" w:type="dxa"/>
            <w:vAlign w:val="bottom"/>
            <w:tcBorders>
              <w:top w:val="single" w:sz="8" w:color="auto"/>
              <w:bottom w:val="single" w:sz="8" w:color="auto"/>
            </w:tcBorders>
          </w:tcPr>
          <w:p>
            <w:pPr>
              <w:jc w:val="right"/>
              <w:spacing w:after="0" w:line="203" w:lineRule="exact"/>
              <w:rPr>
                <w:sz w:val="20"/>
                <w:szCs w:val="20"/>
                <w:color w:val="auto"/>
              </w:rPr>
            </w:pPr>
            <w:r>
              <w:rPr>
                <w:rFonts w:ascii="Times New Roman" w:cs="Times New Roman" w:eastAsia="Times New Roman" w:hAnsi="Times New Roman"/>
                <w:sz w:val="18"/>
                <w:szCs w:val="18"/>
                <w:color w:val="auto"/>
              </w:rPr>
              <w:t>15,044,400</w:t>
            </w:r>
          </w:p>
        </w:tc>
        <w:tc>
          <w:tcPr>
            <w:tcW w:w="220" w:type="dxa"/>
            <w:vAlign w:val="bottom"/>
            <w:tcBorders>
              <w:top w:val="single" w:sz="8" w:color="CCEEFF"/>
              <w:bottom w:val="single" w:sz="8" w:color="CCEEFF"/>
            </w:tcBorders>
          </w:tcPr>
          <w:p>
            <w:pPr>
              <w:spacing w:after="0"/>
              <w:rPr>
                <w:sz w:val="18"/>
                <w:szCs w:val="18"/>
                <w:color w:val="auto"/>
              </w:rPr>
            </w:pPr>
          </w:p>
        </w:tc>
        <w:tc>
          <w:tcPr>
            <w:tcW w:w="1120" w:type="dxa"/>
            <w:vAlign w:val="bottom"/>
            <w:tcBorders>
              <w:top w:val="single" w:sz="8" w:color="auto"/>
              <w:bottom w:val="single" w:sz="8" w:color="auto"/>
            </w:tcBorders>
          </w:tcPr>
          <w:p>
            <w:pPr>
              <w:jc w:val="right"/>
              <w:spacing w:after="0" w:line="203" w:lineRule="exact"/>
              <w:rPr>
                <w:sz w:val="20"/>
                <w:szCs w:val="20"/>
                <w:color w:val="auto"/>
              </w:rPr>
            </w:pPr>
            <w:r>
              <w:rPr>
                <w:rFonts w:ascii="Times New Roman" w:cs="Times New Roman" w:eastAsia="Times New Roman" w:hAnsi="Times New Roman"/>
                <w:sz w:val="18"/>
                <w:szCs w:val="18"/>
                <w:color w:val="auto"/>
              </w:rPr>
              <w:t>17,038,729</w:t>
            </w:r>
          </w:p>
        </w:tc>
        <w:tc>
          <w:tcPr>
            <w:tcW w:w="100" w:type="dxa"/>
            <w:vAlign w:val="bottom"/>
            <w:tcBorders>
              <w:top w:val="single" w:sz="8" w:color="CCEEFF"/>
              <w:bottom w:val="single" w:sz="8" w:color="CCEEFF"/>
            </w:tcBorders>
          </w:tcPr>
          <w:p>
            <w:pPr>
              <w:spacing w:after="0"/>
              <w:rPr>
                <w:sz w:val="18"/>
                <w:szCs w:val="18"/>
                <w:color w:val="auto"/>
              </w:rPr>
            </w:pPr>
          </w:p>
        </w:tc>
      </w:tr>
      <w:tr>
        <w:trPr>
          <w:trHeight w:val="223"/>
        </w:trPr>
        <w:tc>
          <w:tcPr>
            <w:tcW w:w="8680" w:type="dxa"/>
            <w:vAlign w:val="bottom"/>
            <w:tcBorders>
              <w:bottom w:val="single" w:sz="8" w:color="CCEEFF"/>
            </w:tcBorders>
            <w:shd w:val="clear" w:color="auto" w:fill="CCEEFF"/>
          </w:tcPr>
          <w:p>
            <w:pPr>
              <w:spacing w:after="0"/>
              <w:rPr>
                <w:sz w:val="20"/>
                <w:szCs w:val="20"/>
                <w:color w:val="auto"/>
              </w:rPr>
            </w:pPr>
            <w:r>
              <w:rPr>
                <w:rFonts w:ascii="Times New Roman" w:cs="Times New Roman" w:eastAsia="Times New Roman" w:hAnsi="Times New Roman"/>
                <w:sz w:val="18"/>
                <w:szCs w:val="18"/>
                <w:b w:val="1"/>
                <w:bCs w:val="1"/>
                <w:color w:val="auto"/>
              </w:rPr>
              <w:t>TOTAL LIABILITIES AND SHAREHOLDERS’ EQUITY</w:t>
            </w:r>
          </w:p>
        </w:tc>
        <w:tc>
          <w:tcPr>
            <w:tcW w:w="112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23,454,137</w:t>
            </w:r>
          </w:p>
        </w:tc>
        <w:tc>
          <w:tcPr>
            <w:tcW w:w="220" w:type="dxa"/>
            <w:vAlign w:val="bottom"/>
            <w:tcBorders>
              <w:bottom w:val="single" w:sz="8" w:color="CCEEFF"/>
            </w:tcBorders>
            <w:shd w:val="clear" w:color="auto" w:fill="CCEEFF"/>
          </w:tcPr>
          <w:p>
            <w:pPr>
              <w:spacing w:after="0"/>
              <w:rPr>
                <w:sz w:val="19"/>
                <w:szCs w:val="19"/>
                <w:color w:val="auto"/>
              </w:rPr>
            </w:pPr>
          </w:p>
        </w:tc>
        <w:tc>
          <w:tcPr>
            <w:tcW w:w="112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25,663,983</w:t>
            </w:r>
          </w:p>
        </w:tc>
        <w:tc>
          <w:tcPr>
            <w:tcW w:w="100" w:type="dxa"/>
            <w:vAlign w:val="bottom"/>
            <w:tcBorders>
              <w:bottom w:val="single" w:sz="8" w:color="CCEEFF"/>
            </w:tcBorders>
            <w:shd w:val="clear" w:color="auto" w:fill="CCEEFF"/>
          </w:tcPr>
          <w:p>
            <w:pPr>
              <w:spacing w:after="0"/>
              <w:rPr>
                <w:sz w:val="19"/>
                <w:szCs w:val="19"/>
                <w:color w:val="auto"/>
              </w:rPr>
            </w:pPr>
          </w:p>
        </w:tc>
      </w:tr>
    </w:tbl>
    <w:p>
      <w:pPr>
        <w:spacing w:after="0" w:line="11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(1) Retroactively adjusted for the effects of the Share Re-designation and Re-classification:</w:t>
      </w:r>
    </w:p>
    <w:p>
      <w:pPr>
        <w:spacing w:after="0" w:line="148"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On August 7, 2025, the Company implemented the re-designation and re-classification of its issued and unissued ordinary shares of par value US$0.000375 each in the share capital of the Company into Class A ordinary shares (1 vote per share) and Class B ordinary shares (20 votes per share), effective the same day. As a result, the 136,000,000 ordinary shares in the share capital of the Company were re-designated into 133,000,000 Class A ordinary shares and 3,000,000 Class B ordinary shares, and all the then issued 3,761,701 ordinary shares were concurrently re-designated and re-classified on a one-for-one basis into 1,652,701 Class A ordinary shares and 2,109,000 Class B ordinary shares.</w:t>
      </w:r>
    </w:p>
    <w:p>
      <w:pPr>
        <w:spacing w:after="0" w:line="9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(2) Share Repurchase Program:</w:t>
      </w:r>
    </w:p>
    <w:p>
      <w:pPr>
        <w:spacing w:after="0" w:line="148"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On September 15, 2025, the board of directors of the Company approved a share repurchase program authorizing the repurchase of up to US$5,000,000 of the Company’s Class A ordinary shares in the open market over the next six months. The Company has commenced repurchases under the program.</w:t>
      </w:r>
    </w:p>
    <w:p>
      <w:pPr>
        <w:spacing w:after="0" w:line="297"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color w:val="auto"/>
        </w:rPr>
        <w:t>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1714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ectPr>
          <w:pgSz w:w="11900" w:h="16838" w:orient="portrait"/>
          <w:cols w:equalWidth="0" w:num="1">
            <w:col w:w="11240"/>
          </w:cols>
          <w:pgMar w:left="320" w:top="252" w:right="339" w:bottom="272" w:gutter="0" w:footer="0" w:header="0"/>
        </w:sectPr>
      </w:pPr>
    </w:p>
    <w:bookmarkStart w:id="12" w:name="page13"/>
    <w:bookmarkEnd w:id="12"/>
    <w:p>
      <w:pPr>
        <w:jc w:val="center"/>
        <w:ind w:right="40"/>
        <w:spacing w:after="0"/>
        <w:rPr>
          <w:sz w:val="20"/>
          <w:szCs w:val="20"/>
          <w:color w:val="auto"/>
        </w:rPr>
      </w:pPr>
      <w:r>
        <w:rPr>
          <w:rFonts w:ascii="Times New Roman" w:cs="Times New Roman" w:eastAsia="Times New Roman" w:hAnsi="Times New Roman"/>
          <w:sz w:val="18"/>
          <w:szCs w:val="18"/>
          <w:b w:val="1"/>
          <w:bCs w:val="1"/>
          <w:color w:val="auto"/>
        </w:rPr>
        <w:t>J-LONG GROUP LIMITED</w:t>
      </w:r>
    </w:p>
    <w:p>
      <w:pPr>
        <w:spacing w:after="0" w:line="31"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UNAUDITED CONSOLIDATED STATEMENTS OF OPERATIONS</w:t>
      </w:r>
    </w:p>
    <w:p>
      <w:pPr>
        <w:spacing w:after="0" w:line="9"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AND COMPREHENSIVE INCOME</w:t>
      </w:r>
    </w:p>
    <w:p>
      <w:pPr>
        <w:spacing w:after="0" w:line="203" w:lineRule="exact"/>
        <w:rPr>
          <w:sz w:val="20"/>
          <w:szCs w:val="20"/>
          <w:color w:val="auto"/>
        </w:rPr>
      </w:pPr>
    </w:p>
    <w:p>
      <w:pPr>
        <w:jc w:val="center"/>
        <w:ind w:left="8540"/>
        <w:spacing w:after="0"/>
        <w:rPr>
          <w:sz w:val="20"/>
          <w:szCs w:val="20"/>
          <w:color w:val="auto"/>
        </w:rPr>
      </w:pPr>
      <w:r>
        <w:rPr>
          <w:rFonts w:ascii="Times New Roman" w:cs="Times New Roman" w:eastAsia="Times New Roman" w:hAnsi="Times New Roman"/>
          <w:sz w:val="18"/>
          <w:szCs w:val="18"/>
          <w:b w:val="1"/>
          <w:bCs w:val="1"/>
          <w:color w:val="auto"/>
        </w:rPr>
        <w:t>For the six months ended</w:t>
      </w:r>
    </w:p>
    <w:p>
      <w:pPr>
        <w:spacing w:after="0" w:line="31" w:lineRule="exact"/>
        <w:rPr>
          <w:sz w:val="20"/>
          <w:szCs w:val="20"/>
          <w:color w:val="auto"/>
        </w:rPr>
      </w:pPr>
    </w:p>
    <w:p>
      <w:pPr>
        <w:jc w:val="center"/>
        <w:ind w:left="8540"/>
        <w:spacing w:after="0"/>
        <w:rPr>
          <w:sz w:val="20"/>
          <w:szCs w:val="20"/>
          <w:color w:val="auto"/>
        </w:rPr>
      </w:pPr>
      <w:r>
        <w:rPr>
          <w:rFonts w:ascii="Times New Roman" w:cs="Times New Roman" w:eastAsia="Times New Roman" w:hAnsi="Times New Roman"/>
          <w:sz w:val="18"/>
          <w:szCs w:val="18"/>
          <w:b w:val="1"/>
          <w:bCs w:val="1"/>
          <w:color w:val="auto"/>
        </w:rPr>
        <w:t>September 30,</w:t>
      </w:r>
    </w:p>
    <w:p>
      <w:pPr>
        <w:spacing w:after="0" w:line="9" w:lineRule="exact"/>
        <w:rPr>
          <w:sz w:val="20"/>
          <w:szCs w:val="20"/>
          <w:color w:val="auto"/>
        </w:rPr>
      </w:pPr>
    </w:p>
    <w:tbl>
      <w:tblPr>
        <w:tblLayout w:type="fixed"/>
        <w:tblInd w:w="0" w:type="dxa"/>
        <w:tblCellMar>
          <w:top w:w="0" w:type="dxa"/>
          <w:left w:w="0" w:type="dxa"/>
          <w:bottom w:w="0" w:type="dxa"/>
          <w:right w:w="0" w:type="dxa"/>
        </w:tblCellMar>
      </w:tblPr>
      <w:tr>
        <w:trPr>
          <w:trHeight w:val="243"/>
        </w:trPr>
        <w:tc>
          <w:tcPr>
            <w:tcW w:w="8680" w:type="dxa"/>
            <w:vAlign w:val="bottom"/>
          </w:tcPr>
          <w:p>
            <w:pPr>
              <w:spacing w:after="0"/>
              <w:rPr>
                <w:sz w:val="21"/>
                <w:szCs w:val="21"/>
                <w:color w:val="auto"/>
              </w:rPr>
            </w:pPr>
          </w:p>
        </w:tc>
        <w:tc>
          <w:tcPr>
            <w:tcW w:w="1120" w:type="dxa"/>
            <w:vAlign w:val="bottom"/>
            <w:tcBorders>
              <w:top w:val="single" w:sz="8" w:color="auto"/>
              <w:bottom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2024</w:t>
            </w:r>
          </w:p>
        </w:tc>
        <w:tc>
          <w:tcPr>
            <w:tcW w:w="220" w:type="dxa"/>
            <w:vAlign w:val="bottom"/>
            <w:tcBorders>
              <w:top w:val="single" w:sz="8" w:color="auto"/>
            </w:tcBorders>
          </w:tcPr>
          <w:p>
            <w:pPr>
              <w:spacing w:after="0"/>
              <w:rPr>
                <w:sz w:val="21"/>
                <w:szCs w:val="21"/>
                <w:color w:val="auto"/>
              </w:rPr>
            </w:pPr>
          </w:p>
        </w:tc>
        <w:tc>
          <w:tcPr>
            <w:tcW w:w="1120" w:type="dxa"/>
            <w:vAlign w:val="bottom"/>
            <w:tcBorders>
              <w:top w:val="single" w:sz="8" w:color="auto"/>
              <w:bottom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2025</w:t>
            </w:r>
          </w:p>
        </w:tc>
        <w:tc>
          <w:tcPr>
            <w:tcW w:w="10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23"/>
        </w:trPr>
        <w:tc>
          <w:tcPr>
            <w:tcW w:w="8680" w:type="dxa"/>
            <w:vAlign w:val="bottom"/>
          </w:tcPr>
          <w:p>
            <w:pPr>
              <w:spacing w:after="0"/>
              <w:rPr>
                <w:sz w:val="19"/>
                <w:szCs w:val="19"/>
                <w:color w:val="auto"/>
              </w:rPr>
            </w:pPr>
          </w:p>
        </w:tc>
        <w:tc>
          <w:tcPr>
            <w:tcW w:w="112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USD</w:t>
            </w:r>
          </w:p>
        </w:tc>
        <w:tc>
          <w:tcPr>
            <w:tcW w:w="220" w:type="dxa"/>
            <w:vAlign w:val="bottom"/>
          </w:tcPr>
          <w:p>
            <w:pPr>
              <w:spacing w:after="0"/>
              <w:rPr>
                <w:sz w:val="19"/>
                <w:szCs w:val="19"/>
                <w:color w:val="auto"/>
              </w:rPr>
            </w:pPr>
          </w:p>
        </w:tc>
        <w:tc>
          <w:tcPr>
            <w:tcW w:w="112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USD</w:t>
            </w: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8680" w:type="dxa"/>
            <w:vAlign w:val="bottom"/>
            <w:tcBorders>
              <w:bottom w:val="single" w:sz="8" w:color="CCEEFF"/>
            </w:tcBorders>
          </w:tcPr>
          <w:p>
            <w:pPr>
              <w:spacing w:after="0"/>
              <w:rPr>
                <w:sz w:val="19"/>
                <w:szCs w:val="19"/>
                <w:color w:val="auto"/>
              </w:rPr>
            </w:pPr>
          </w:p>
        </w:tc>
        <w:tc>
          <w:tcPr>
            <w:tcW w:w="112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8"/>
              </w:rPr>
              <w:t>(Unaudited)</w:t>
            </w:r>
          </w:p>
        </w:tc>
        <w:tc>
          <w:tcPr>
            <w:tcW w:w="220" w:type="dxa"/>
            <w:vAlign w:val="bottom"/>
            <w:tcBorders>
              <w:bottom w:val="single" w:sz="8" w:color="CCEEFF"/>
            </w:tcBorders>
          </w:tcPr>
          <w:p>
            <w:pPr>
              <w:spacing w:after="0"/>
              <w:rPr>
                <w:sz w:val="19"/>
                <w:szCs w:val="19"/>
                <w:color w:val="auto"/>
              </w:rPr>
            </w:pPr>
          </w:p>
        </w:tc>
        <w:tc>
          <w:tcPr>
            <w:tcW w:w="112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8"/>
              </w:rPr>
              <w:t>(Unaudited)</w:t>
            </w:r>
          </w:p>
        </w:tc>
        <w:tc>
          <w:tcPr>
            <w:tcW w:w="100" w:type="dxa"/>
            <w:vAlign w:val="bottom"/>
            <w:tcBorders>
              <w:bottom w:val="single" w:sz="8" w:color="CCEEFF"/>
            </w:tcBorders>
          </w:tcPr>
          <w:p>
            <w:pPr>
              <w:spacing w:after="0"/>
              <w:rPr>
                <w:sz w:val="19"/>
                <w:szCs w:val="19"/>
                <w:color w:val="auto"/>
              </w:rPr>
            </w:pPr>
          </w:p>
        </w:tc>
        <w:tc>
          <w:tcPr>
            <w:tcW w:w="0" w:type="dxa"/>
            <w:vAlign w:val="bottom"/>
          </w:tcPr>
          <w:p>
            <w:pPr>
              <w:spacing w:after="0"/>
              <w:rPr>
                <w:sz w:val="1"/>
                <w:szCs w:val="1"/>
                <w:color w:val="auto"/>
              </w:rPr>
            </w:pPr>
          </w:p>
        </w:tc>
      </w:tr>
      <w:tr>
        <w:trPr>
          <w:trHeight w:val="216"/>
        </w:trPr>
        <w:tc>
          <w:tcPr>
            <w:tcW w:w="868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b w:val="1"/>
                <w:bCs w:val="1"/>
                <w:color w:val="auto"/>
              </w:rPr>
              <w:t>Revenues</w:t>
            </w:r>
          </w:p>
        </w:tc>
        <w:tc>
          <w:tcPr>
            <w:tcW w:w="11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19,024,229</w:t>
            </w:r>
          </w:p>
        </w:tc>
        <w:tc>
          <w:tcPr>
            <w:tcW w:w="220" w:type="dxa"/>
            <w:vAlign w:val="bottom"/>
            <w:shd w:val="clear" w:color="auto" w:fill="CCEEFF"/>
          </w:tcPr>
          <w:p>
            <w:pPr>
              <w:spacing w:after="0"/>
              <w:rPr>
                <w:sz w:val="18"/>
                <w:szCs w:val="18"/>
                <w:color w:val="auto"/>
              </w:rPr>
            </w:pPr>
          </w:p>
        </w:tc>
        <w:tc>
          <w:tcPr>
            <w:tcW w:w="11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22,699,837</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7"/>
        </w:trPr>
        <w:tc>
          <w:tcPr>
            <w:tcW w:w="8680" w:type="dxa"/>
            <w:vAlign w:val="bottom"/>
          </w:tcPr>
          <w:p>
            <w:pPr>
              <w:spacing w:after="0"/>
              <w:rPr>
                <w:sz w:val="20"/>
                <w:szCs w:val="20"/>
                <w:color w:val="auto"/>
              </w:rPr>
            </w:pPr>
            <w:r>
              <w:rPr>
                <w:rFonts w:ascii="Times New Roman" w:cs="Times New Roman" w:eastAsia="Times New Roman" w:hAnsi="Times New Roman"/>
                <w:sz w:val="18"/>
                <w:szCs w:val="18"/>
                <w:color w:val="auto"/>
              </w:rPr>
              <w:t>Cost of sales</w:t>
            </w:r>
          </w:p>
        </w:tc>
        <w:tc>
          <w:tcPr>
            <w:tcW w:w="134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13,735,774</w:t>
            </w:r>
          </w:p>
        </w:tc>
        <w:tc>
          <w:tcPr>
            <w:tcW w:w="122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15,620,656</w:t>
            </w:r>
          </w:p>
        </w:tc>
        <w:tc>
          <w:tcPr>
            <w:tcW w:w="0" w:type="dxa"/>
            <w:vAlign w:val="bottom"/>
          </w:tcPr>
          <w:p>
            <w:pPr>
              <w:spacing w:after="0"/>
              <w:rPr>
                <w:sz w:val="1"/>
                <w:szCs w:val="1"/>
                <w:color w:val="auto"/>
              </w:rPr>
            </w:pPr>
          </w:p>
        </w:tc>
      </w:tr>
      <w:tr>
        <w:trPr>
          <w:trHeight w:val="223"/>
        </w:trPr>
        <w:tc>
          <w:tcPr>
            <w:tcW w:w="8680" w:type="dxa"/>
            <w:vAlign w:val="bottom"/>
            <w:tcBorders>
              <w:top w:val="single" w:sz="8" w:color="CCEEFF"/>
              <w:bottom w:val="single" w:sz="8" w:color="CCEEFF"/>
            </w:tcBorders>
            <w:shd w:val="clear" w:color="auto" w:fill="CCEEFF"/>
          </w:tcPr>
          <w:p>
            <w:pPr>
              <w:spacing w:after="0"/>
              <w:rPr>
                <w:sz w:val="20"/>
                <w:szCs w:val="20"/>
                <w:color w:val="auto"/>
              </w:rPr>
            </w:pPr>
            <w:r>
              <w:rPr>
                <w:rFonts w:ascii="Times New Roman" w:cs="Times New Roman" w:eastAsia="Times New Roman" w:hAnsi="Times New Roman"/>
                <w:sz w:val="18"/>
                <w:szCs w:val="18"/>
                <w:color w:val="auto"/>
              </w:rPr>
              <w:t>Gross profit</w:t>
            </w: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5,288,455</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7,079,181</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16"/>
        </w:trPr>
        <w:tc>
          <w:tcPr>
            <w:tcW w:w="868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868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Operating expenses:</w:t>
            </w:r>
          </w:p>
        </w:tc>
        <w:tc>
          <w:tcPr>
            <w:tcW w:w="11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8680" w:type="dxa"/>
            <w:vAlign w:val="bottom"/>
          </w:tcPr>
          <w:p>
            <w:pPr>
              <w:spacing w:after="0"/>
              <w:rPr>
                <w:sz w:val="20"/>
                <w:szCs w:val="20"/>
                <w:color w:val="auto"/>
              </w:rPr>
            </w:pPr>
            <w:r>
              <w:rPr>
                <w:rFonts w:ascii="Times New Roman" w:cs="Times New Roman" w:eastAsia="Times New Roman" w:hAnsi="Times New Roman"/>
                <w:sz w:val="18"/>
                <w:szCs w:val="18"/>
                <w:color w:val="auto"/>
              </w:rPr>
              <w:t>Selling and marketing expenses</w:t>
            </w:r>
          </w:p>
        </w:tc>
        <w:tc>
          <w:tcPr>
            <w:tcW w:w="134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916,174</w:t>
            </w:r>
          </w:p>
        </w:tc>
        <w:tc>
          <w:tcPr>
            <w:tcW w:w="122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1,978,757</w:t>
            </w:r>
          </w:p>
        </w:tc>
        <w:tc>
          <w:tcPr>
            <w:tcW w:w="0" w:type="dxa"/>
            <w:vAlign w:val="bottom"/>
          </w:tcPr>
          <w:p>
            <w:pPr>
              <w:spacing w:after="0"/>
              <w:rPr>
                <w:sz w:val="1"/>
                <w:szCs w:val="1"/>
                <w:color w:val="auto"/>
              </w:rPr>
            </w:pPr>
          </w:p>
        </w:tc>
      </w:tr>
      <w:tr>
        <w:trPr>
          <w:trHeight w:val="249"/>
        </w:trPr>
        <w:tc>
          <w:tcPr>
            <w:tcW w:w="868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General and administrative expenses</w:t>
            </w:r>
          </w:p>
        </w:tc>
        <w:tc>
          <w:tcPr>
            <w:tcW w:w="13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1,981,326</w:t>
            </w:r>
          </w:p>
        </w:tc>
        <w:tc>
          <w:tcPr>
            <w:tcW w:w="122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2,641,384</w:t>
            </w:r>
          </w:p>
        </w:tc>
        <w:tc>
          <w:tcPr>
            <w:tcW w:w="0" w:type="dxa"/>
            <w:vAlign w:val="bottom"/>
          </w:tcPr>
          <w:p>
            <w:pPr>
              <w:spacing w:after="0"/>
              <w:rPr>
                <w:sz w:val="1"/>
                <w:szCs w:val="1"/>
                <w:color w:val="auto"/>
              </w:rPr>
            </w:pPr>
          </w:p>
        </w:tc>
      </w:tr>
      <w:tr>
        <w:trPr>
          <w:trHeight w:val="210"/>
        </w:trPr>
        <w:tc>
          <w:tcPr>
            <w:tcW w:w="8680" w:type="dxa"/>
            <w:vAlign w:val="bottom"/>
            <w:tcBorders>
              <w:top w:val="single" w:sz="8" w:color="CCEEFF"/>
              <w:bottom w:val="single" w:sz="8" w:color="CCEEFF"/>
            </w:tcBorders>
          </w:tcPr>
          <w:p>
            <w:pPr>
              <w:spacing w:after="0" w:line="203" w:lineRule="exact"/>
              <w:rPr>
                <w:sz w:val="20"/>
                <w:szCs w:val="20"/>
                <w:color w:val="auto"/>
              </w:rPr>
            </w:pPr>
            <w:r>
              <w:rPr>
                <w:rFonts w:ascii="Times New Roman" w:cs="Times New Roman" w:eastAsia="Times New Roman" w:hAnsi="Times New Roman"/>
                <w:sz w:val="18"/>
                <w:szCs w:val="18"/>
                <w:color w:val="auto"/>
              </w:rPr>
              <w:t>Total operating expenses</w:t>
            </w:r>
          </w:p>
        </w:tc>
        <w:tc>
          <w:tcPr>
            <w:tcW w:w="1120" w:type="dxa"/>
            <w:vAlign w:val="bottom"/>
            <w:tcBorders>
              <w:top w:val="single" w:sz="8" w:color="auto"/>
              <w:bottom w:val="single" w:sz="8" w:color="auto"/>
            </w:tcBorders>
          </w:tcPr>
          <w:p>
            <w:pPr>
              <w:jc w:val="right"/>
              <w:spacing w:after="0" w:line="203" w:lineRule="exact"/>
              <w:rPr>
                <w:sz w:val="20"/>
                <w:szCs w:val="20"/>
                <w:color w:val="auto"/>
              </w:rPr>
            </w:pPr>
            <w:r>
              <w:rPr>
                <w:rFonts w:ascii="Times New Roman" w:cs="Times New Roman" w:eastAsia="Times New Roman" w:hAnsi="Times New Roman"/>
                <w:sz w:val="18"/>
                <w:szCs w:val="18"/>
                <w:color w:val="auto"/>
              </w:rPr>
              <w:t>2,897,500</w:t>
            </w:r>
          </w:p>
        </w:tc>
        <w:tc>
          <w:tcPr>
            <w:tcW w:w="220" w:type="dxa"/>
            <w:vAlign w:val="bottom"/>
            <w:tcBorders>
              <w:top w:val="single" w:sz="8" w:color="CCEEFF"/>
              <w:bottom w:val="single" w:sz="8" w:color="CCEEFF"/>
            </w:tcBorders>
          </w:tcPr>
          <w:p>
            <w:pPr>
              <w:spacing w:after="0"/>
              <w:rPr>
                <w:sz w:val="18"/>
                <w:szCs w:val="18"/>
                <w:color w:val="auto"/>
              </w:rPr>
            </w:pPr>
          </w:p>
        </w:tc>
        <w:tc>
          <w:tcPr>
            <w:tcW w:w="1120" w:type="dxa"/>
            <w:vAlign w:val="bottom"/>
            <w:tcBorders>
              <w:top w:val="single" w:sz="8" w:color="auto"/>
              <w:bottom w:val="single" w:sz="8" w:color="auto"/>
            </w:tcBorders>
          </w:tcPr>
          <w:p>
            <w:pPr>
              <w:jc w:val="right"/>
              <w:spacing w:after="0" w:line="203" w:lineRule="exact"/>
              <w:rPr>
                <w:sz w:val="20"/>
                <w:szCs w:val="20"/>
                <w:color w:val="auto"/>
              </w:rPr>
            </w:pPr>
            <w:r>
              <w:rPr>
                <w:rFonts w:ascii="Times New Roman" w:cs="Times New Roman" w:eastAsia="Times New Roman" w:hAnsi="Times New Roman"/>
                <w:sz w:val="18"/>
                <w:szCs w:val="18"/>
                <w:color w:val="auto"/>
              </w:rPr>
              <w:t>4,620,141</w:t>
            </w:r>
          </w:p>
        </w:tc>
        <w:tc>
          <w:tcPr>
            <w:tcW w:w="100" w:type="dxa"/>
            <w:vAlign w:val="bottom"/>
            <w:tcBorders>
              <w:top w:val="single" w:sz="8" w:color="CCEEFF"/>
              <w:bottom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8680" w:type="dxa"/>
            <w:vAlign w:val="bottom"/>
            <w:shd w:val="clear" w:color="auto" w:fill="CCEEFF"/>
          </w:tcPr>
          <w:p>
            <w:pPr>
              <w:spacing w:after="0"/>
              <w:rPr>
                <w:sz w:val="18"/>
                <w:szCs w:val="18"/>
                <w:color w:val="auto"/>
              </w:rPr>
            </w:pPr>
          </w:p>
        </w:tc>
        <w:tc>
          <w:tcPr>
            <w:tcW w:w="11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6"/>
        </w:trPr>
        <w:tc>
          <w:tcPr>
            <w:tcW w:w="8680" w:type="dxa"/>
            <w:vAlign w:val="bottom"/>
          </w:tcPr>
          <w:p>
            <w:pPr>
              <w:spacing w:after="0"/>
              <w:rPr>
                <w:sz w:val="20"/>
                <w:szCs w:val="20"/>
                <w:color w:val="auto"/>
              </w:rPr>
            </w:pPr>
            <w:r>
              <w:rPr>
                <w:rFonts w:ascii="Times New Roman" w:cs="Times New Roman" w:eastAsia="Times New Roman" w:hAnsi="Times New Roman"/>
                <w:sz w:val="18"/>
                <w:szCs w:val="18"/>
                <w:color w:val="auto"/>
              </w:rPr>
              <w:t>Income from operations</w:t>
            </w:r>
          </w:p>
        </w:tc>
        <w:tc>
          <w:tcPr>
            <w:tcW w:w="134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2,390,955</w:t>
            </w:r>
          </w:p>
        </w:tc>
        <w:tc>
          <w:tcPr>
            <w:tcW w:w="122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2,459,040</w:t>
            </w:r>
          </w:p>
        </w:tc>
        <w:tc>
          <w:tcPr>
            <w:tcW w:w="0" w:type="dxa"/>
            <w:vAlign w:val="bottom"/>
          </w:tcPr>
          <w:p>
            <w:pPr>
              <w:spacing w:after="0"/>
              <w:rPr>
                <w:sz w:val="1"/>
                <w:szCs w:val="1"/>
                <w:color w:val="auto"/>
              </w:rPr>
            </w:pPr>
          </w:p>
        </w:tc>
      </w:tr>
      <w:tr>
        <w:trPr>
          <w:trHeight w:val="216"/>
        </w:trPr>
        <w:tc>
          <w:tcPr>
            <w:tcW w:w="8680" w:type="dxa"/>
            <w:vAlign w:val="bottom"/>
            <w:tcBorders>
              <w:top w:val="single" w:sz="8" w:color="CCEEFF"/>
            </w:tcBorders>
            <w:shd w:val="clear" w:color="auto" w:fill="CCEEFF"/>
          </w:tcPr>
          <w:p>
            <w:pPr>
              <w:spacing w:after="0"/>
              <w:rPr>
                <w:sz w:val="18"/>
                <w:szCs w:val="18"/>
                <w:color w:val="auto"/>
              </w:rPr>
            </w:pPr>
          </w:p>
        </w:tc>
        <w:tc>
          <w:tcPr>
            <w:tcW w:w="112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12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8680" w:type="dxa"/>
            <w:vAlign w:val="bottom"/>
          </w:tcPr>
          <w:p>
            <w:pPr>
              <w:spacing w:after="0"/>
              <w:rPr>
                <w:sz w:val="20"/>
                <w:szCs w:val="20"/>
                <w:color w:val="auto"/>
              </w:rPr>
            </w:pPr>
            <w:r>
              <w:rPr>
                <w:rFonts w:ascii="Times New Roman" w:cs="Times New Roman" w:eastAsia="Times New Roman" w:hAnsi="Times New Roman"/>
                <w:sz w:val="18"/>
                <w:szCs w:val="18"/>
                <w:color w:val="auto"/>
              </w:rPr>
              <w:t>Other income, net:</w:t>
            </w:r>
          </w:p>
        </w:tc>
        <w:tc>
          <w:tcPr>
            <w:tcW w:w="11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868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Other income</w:t>
            </w:r>
          </w:p>
        </w:tc>
        <w:tc>
          <w:tcPr>
            <w:tcW w:w="13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172,783</w:t>
            </w:r>
          </w:p>
        </w:tc>
        <w:tc>
          <w:tcPr>
            <w:tcW w:w="122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256,991</w:t>
            </w:r>
          </w:p>
        </w:tc>
        <w:tc>
          <w:tcPr>
            <w:tcW w:w="0" w:type="dxa"/>
            <w:vAlign w:val="bottom"/>
          </w:tcPr>
          <w:p>
            <w:pPr>
              <w:spacing w:after="0"/>
              <w:rPr>
                <w:sz w:val="1"/>
                <w:szCs w:val="1"/>
                <w:color w:val="auto"/>
              </w:rPr>
            </w:pPr>
          </w:p>
        </w:tc>
      </w:tr>
      <w:tr>
        <w:trPr>
          <w:trHeight w:val="216"/>
        </w:trPr>
        <w:tc>
          <w:tcPr>
            <w:tcW w:w="8680" w:type="dxa"/>
            <w:vAlign w:val="bottom"/>
          </w:tcPr>
          <w:p>
            <w:pPr>
              <w:spacing w:after="0"/>
              <w:rPr>
                <w:sz w:val="20"/>
                <w:szCs w:val="20"/>
                <w:color w:val="auto"/>
              </w:rPr>
            </w:pPr>
            <w:r>
              <w:rPr>
                <w:rFonts w:ascii="Times New Roman" w:cs="Times New Roman" w:eastAsia="Times New Roman" w:hAnsi="Times New Roman"/>
                <w:sz w:val="18"/>
                <w:szCs w:val="18"/>
                <w:color w:val="auto"/>
              </w:rPr>
              <w:t>Currency exchange gain</w:t>
            </w:r>
          </w:p>
        </w:tc>
        <w:tc>
          <w:tcPr>
            <w:tcW w:w="134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273,999</w:t>
            </w:r>
          </w:p>
        </w:tc>
        <w:tc>
          <w:tcPr>
            <w:tcW w:w="122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298,708</w:t>
            </w:r>
          </w:p>
        </w:tc>
        <w:tc>
          <w:tcPr>
            <w:tcW w:w="0" w:type="dxa"/>
            <w:vAlign w:val="bottom"/>
          </w:tcPr>
          <w:p>
            <w:pPr>
              <w:spacing w:after="0"/>
              <w:rPr>
                <w:sz w:val="1"/>
                <w:szCs w:val="1"/>
                <w:color w:val="auto"/>
              </w:rPr>
            </w:pPr>
          </w:p>
        </w:tc>
      </w:tr>
      <w:tr>
        <w:trPr>
          <w:trHeight w:val="162"/>
        </w:trPr>
        <w:tc>
          <w:tcPr>
            <w:tcW w:w="8680" w:type="dxa"/>
            <w:vAlign w:val="bottom"/>
            <w:vMerge w:val="restart"/>
            <w:shd w:val="clear" w:color="auto" w:fill="CCEEFF"/>
          </w:tcPr>
          <w:p>
            <w:pPr>
              <w:spacing w:after="0"/>
              <w:rPr>
                <w:sz w:val="20"/>
                <w:szCs w:val="20"/>
                <w:color w:val="auto"/>
              </w:rPr>
            </w:pPr>
            <w:r>
              <w:rPr>
                <w:rFonts w:ascii="Times New Roman" w:cs="Times New Roman" w:eastAsia="Times New Roman" w:hAnsi="Times New Roman"/>
                <w:sz w:val="18"/>
                <w:szCs w:val="18"/>
                <w:color w:val="auto"/>
              </w:rPr>
              <w:t>Interest expenses, net</w:t>
            </w:r>
          </w:p>
        </w:tc>
        <w:tc>
          <w:tcPr>
            <w:tcW w:w="1340" w:type="dxa"/>
            <w:vAlign w:val="bottom"/>
            <w:gridSpan w:val="2"/>
            <w:shd w:val="clear" w:color="auto" w:fill="CCEEFF"/>
          </w:tcPr>
          <w:p>
            <w:pPr>
              <w:jc w:val="right"/>
              <w:ind w:right="160"/>
              <w:spacing w:after="0" w:line="162" w:lineRule="exact"/>
              <w:rPr>
                <w:sz w:val="20"/>
                <w:szCs w:val="20"/>
                <w:color w:val="auto"/>
              </w:rPr>
            </w:pPr>
            <w:r>
              <w:rPr>
                <w:rFonts w:ascii="Times New Roman" w:cs="Times New Roman" w:eastAsia="Times New Roman" w:hAnsi="Times New Roman"/>
                <w:sz w:val="18"/>
                <w:szCs w:val="18"/>
                <w:color w:val="auto"/>
              </w:rPr>
              <w:t>)</w:t>
            </w:r>
          </w:p>
        </w:tc>
        <w:tc>
          <w:tcPr>
            <w:tcW w:w="1220" w:type="dxa"/>
            <w:vAlign w:val="bottom"/>
            <w:gridSpan w:val="2"/>
            <w:shd w:val="clear" w:color="auto" w:fill="CCEEFF"/>
          </w:tcPr>
          <w:p>
            <w:pPr>
              <w:jc w:val="right"/>
              <w:ind w:right="40"/>
              <w:spacing w:after="0" w:line="162" w:lineRule="exact"/>
              <w:rPr>
                <w:sz w:val="20"/>
                <w:szCs w:val="20"/>
                <w:color w:val="auto"/>
              </w:rPr>
            </w:pPr>
            <w:r>
              <w:rPr>
                <w:rFonts w:ascii="Times New Roman" w:cs="Times New Roman" w:eastAsia="Times New Roman" w:hAnsi="Times New Roman"/>
                <w:sz w:val="18"/>
                <w:szCs w:val="18"/>
                <w:color w:val="auto"/>
              </w:rPr>
              <w:t>)</w:t>
            </w:r>
          </w:p>
        </w:tc>
        <w:tc>
          <w:tcPr>
            <w:tcW w:w="0" w:type="dxa"/>
            <w:vAlign w:val="bottom"/>
          </w:tcPr>
          <w:p>
            <w:pPr>
              <w:spacing w:after="0"/>
              <w:rPr>
                <w:sz w:val="1"/>
                <w:szCs w:val="1"/>
                <w:color w:val="auto"/>
              </w:rPr>
            </w:pPr>
          </w:p>
        </w:tc>
      </w:tr>
      <w:tr>
        <w:trPr>
          <w:trHeight w:val="87"/>
        </w:trPr>
        <w:tc>
          <w:tcPr>
            <w:tcW w:w="8680" w:type="dxa"/>
            <w:vAlign w:val="bottom"/>
            <w:vMerge w:val="continue"/>
            <w:shd w:val="clear" w:color="auto" w:fill="CCEEFF"/>
          </w:tcPr>
          <w:p>
            <w:pPr>
              <w:spacing w:after="0"/>
              <w:rPr>
                <w:sz w:val="7"/>
                <w:szCs w:val="7"/>
                <w:color w:val="auto"/>
              </w:rPr>
            </w:pPr>
          </w:p>
        </w:tc>
        <w:tc>
          <w:tcPr>
            <w:tcW w:w="1340" w:type="dxa"/>
            <w:vAlign w:val="bottom"/>
            <w:gridSpan w:val="2"/>
            <w:shd w:val="clear" w:color="auto" w:fill="CCEEFF"/>
          </w:tcPr>
          <w:p>
            <w:pPr>
              <w:jc w:val="right"/>
              <w:ind w:right="220"/>
              <w:spacing w:after="0" w:line="68" w:lineRule="exact"/>
              <w:rPr>
                <w:sz w:val="20"/>
                <w:szCs w:val="20"/>
                <w:color w:val="auto"/>
              </w:rPr>
            </w:pPr>
            <w:r>
              <w:rPr>
                <w:rFonts w:ascii="Times New Roman" w:cs="Times New Roman" w:eastAsia="Times New Roman" w:hAnsi="Times New Roman"/>
                <w:sz w:val="7"/>
                <w:szCs w:val="7"/>
                <w:color w:val="auto"/>
              </w:rPr>
              <w:t>(57,540</w:t>
            </w:r>
          </w:p>
        </w:tc>
        <w:tc>
          <w:tcPr>
            <w:tcW w:w="1220" w:type="dxa"/>
            <w:vAlign w:val="bottom"/>
            <w:gridSpan w:val="2"/>
            <w:shd w:val="clear" w:color="auto" w:fill="CCEEFF"/>
          </w:tcPr>
          <w:p>
            <w:pPr>
              <w:jc w:val="right"/>
              <w:ind w:right="100"/>
              <w:spacing w:after="0" w:line="68" w:lineRule="exact"/>
              <w:rPr>
                <w:sz w:val="20"/>
                <w:szCs w:val="20"/>
                <w:color w:val="auto"/>
              </w:rPr>
            </w:pPr>
            <w:r>
              <w:rPr>
                <w:rFonts w:ascii="Times New Roman" w:cs="Times New Roman" w:eastAsia="Times New Roman" w:hAnsi="Times New Roman"/>
                <w:sz w:val="7"/>
                <w:szCs w:val="7"/>
                <w:color w:val="auto"/>
              </w:rPr>
              <w:t>(35,221</w:t>
            </w:r>
          </w:p>
        </w:tc>
        <w:tc>
          <w:tcPr>
            <w:tcW w:w="0" w:type="dxa"/>
            <w:vAlign w:val="bottom"/>
          </w:tcPr>
          <w:p>
            <w:pPr>
              <w:spacing w:after="0"/>
              <w:rPr>
                <w:sz w:val="1"/>
                <w:szCs w:val="1"/>
                <w:color w:val="auto"/>
              </w:rPr>
            </w:pPr>
          </w:p>
        </w:tc>
      </w:tr>
      <w:tr>
        <w:trPr>
          <w:trHeight w:val="210"/>
        </w:trPr>
        <w:tc>
          <w:tcPr>
            <w:tcW w:w="8680" w:type="dxa"/>
            <w:vAlign w:val="bottom"/>
            <w:tcBorders>
              <w:top w:val="single" w:sz="8" w:color="CCEEFF"/>
              <w:bottom w:val="single" w:sz="8" w:color="CCEEFF"/>
            </w:tcBorders>
          </w:tcPr>
          <w:p>
            <w:pPr>
              <w:spacing w:after="0" w:line="203" w:lineRule="exact"/>
              <w:rPr>
                <w:sz w:val="20"/>
                <w:szCs w:val="20"/>
                <w:color w:val="auto"/>
              </w:rPr>
            </w:pPr>
            <w:r>
              <w:rPr>
                <w:rFonts w:ascii="Times New Roman" w:cs="Times New Roman" w:eastAsia="Times New Roman" w:hAnsi="Times New Roman"/>
                <w:sz w:val="18"/>
                <w:szCs w:val="18"/>
                <w:color w:val="auto"/>
              </w:rPr>
              <w:t>Total other income, net</w:t>
            </w:r>
          </w:p>
        </w:tc>
        <w:tc>
          <w:tcPr>
            <w:tcW w:w="1120" w:type="dxa"/>
            <w:vAlign w:val="bottom"/>
            <w:tcBorders>
              <w:top w:val="single" w:sz="8" w:color="auto"/>
              <w:bottom w:val="single" w:sz="8" w:color="auto"/>
            </w:tcBorders>
          </w:tcPr>
          <w:p>
            <w:pPr>
              <w:jc w:val="right"/>
              <w:spacing w:after="0" w:line="203" w:lineRule="exact"/>
              <w:rPr>
                <w:sz w:val="20"/>
                <w:szCs w:val="20"/>
                <w:color w:val="auto"/>
              </w:rPr>
            </w:pPr>
            <w:r>
              <w:rPr>
                <w:rFonts w:ascii="Times New Roman" w:cs="Times New Roman" w:eastAsia="Times New Roman" w:hAnsi="Times New Roman"/>
                <w:sz w:val="18"/>
                <w:szCs w:val="18"/>
                <w:color w:val="auto"/>
              </w:rPr>
              <w:t>389,242</w:t>
            </w:r>
          </w:p>
        </w:tc>
        <w:tc>
          <w:tcPr>
            <w:tcW w:w="220" w:type="dxa"/>
            <w:vAlign w:val="bottom"/>
            <w:tcBorders>
              <w:top w:val="single" w:sz="8" w:color="CCEEFF"/>
              <w:bottom w:val="single" w:sz="8" w:color="CCEEFF"/>
            </w:tcBorders>
          </w:tcPr>
          <w:p>
            <w:pPr>
              <w:spacing w:after="0"/>
              <w:rPr>
                <w:sz w:val="18"/>
                <w:szCs w:val="18"/>
                <w:color w:val="auto"/>
              </w:rPr>
            </w:pPr>
          </w:p>
        </w:tc>
        <w:tc>
          <w:tcPr>
            <w:tcW w:w="1120" w:type="dxa"/>
            <w:vAlign w:val="bottom"/>
            <w:tcBorders>
              <w:top w:val="single" w:sz="8" w:color="auto"/>
              <w:bottom w:val="single" w:sz="8" w:color="auto"/>
            </w:tcBorders>
          </w:tcPr>
          <w:p>
            <w:pPr>
              <w:jc w:val="right"/>
              <w:spacing w:after="0" w:line="203" w:lineRule="exact"/>
              <w:rPr>
                <w:sz w:val="20"/>
                <w:szCs w:val="20"/>
                <w:color w:val="auto"/>
              </w:rPr>
            </w:pPr>
            <w:r>
              <w:rPr>
                <w:rFonts w:ascii="Times New Roman" w:cs="Times New Roman" w:eastAsia="Times New Roman" w:hAnsi="Times New Roman"/>
                <w:sz w:val="18"/>
                <w:szCs w:val="18"/>
                <w:color w:val="auto"/>
              </w:rPr>
              <w:t>520,478</w:t>
            </w:r>
          </w:p>
        </w:tc>
        <w:tc>
          <w:tcPr>
            <w:tcW w:w="100" w:type="dxa"/>
            <w:vAlign w:val="bottom"/>
            <w:tcBorders>
              <w:top w:val="single" w:sz="8" w:color="CCEEFF"/>
              <w:bottom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8680" w:type="dxa"/>
            <w:vAlign w:val="bottom"/>
            <w:shd w:val="clear" w:color="auto" w:fill="CCEEFF"/>
          </w:tcPr>
          <w:p>
            <w:pPr>
              <w:spacing w:after="0"/>
              <w:rPr>
                <w:sz w:val="18"/>
                <w:szCs w:val="18"/>
                <w:color w:val="auto"/>
              </w:rPr>
            </w:pPr>
          </w:p>
        </w:tc>
        <w:tc>
          <w:tcPr>
            <w:tcW w:w="11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8680" w:type="dxa"/>
            <w:vAlign w:val="bottom"/>
          </w:tcPr>
          <w:p>
            <w:pPr>
              <w:spacing w:after="0"/>
              <w:rPr>
                <w:sz w:val="20"/>
                <w:szCs w:val="20"/>
                <w:color w:val="auto"/>
              </w:rPr>
            </w:pPr>
            <w:r>
              <w:rPr>
                <w:rFonts w:ascii="Times New Roman" w:cs="Times New Roman" w:eastAsia="Times New Roman" w:hAnsi="Times New Roman"/>
                <w:sz w:val="18"/>
                <w:szCs w:val="18"/>
                <w:color w:val="auto"/>
              </w:rPr>
              <w:t>Income before tax expense</w:t>
            </w:r>
          </w:p>
        </w:tc>
        <w:tc>
          <w:tcPr>
            <w:tcW w:w="134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2,780,197</w:t>
            </w:r>
          </w:p>
        </w:tc>
        <w:tc>
          <w:tcPr>
            <w:tcW w:w="122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2,979,518</w:t>
            </w:r>
          </w:p>
        </w:tc>
        <w:tc>
          <w:tcPr>
            <w:tcW w:w="0" w:type="dxa"/>
            <w:vAlign w:val="bottom"/>
          </w:tcPr>
          <w:p>
            <w:pPr>
              <w:spacing w:after="0"/>
              <w:rPr>
                <w:sz w:val="1"/>
                <w:szCs w:val="1"/>
                <w:color w:val="auto"/>
              </w:rPr>
            </w:pPr>
          </w:p>
        </w:tc>
      </w:tr>
      <w:tr>
        <w:trPr>
          <w:trHeight w:val="249"/>
        </w:trPr>
        <w:tc>
          <w:tcPr>
            <w:tcW w:w="868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Income tax expense</w:t>
            </w:r>
          </w:p>
        </w:tc>
        <w:tc>
          <w:tcPr>
            <w:tcW w:w="13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471,820</w:t>
            </w:r>
          </w:p>
        </w:tc>
        <w:tc>
          <w:tcPr>
            <w:tcW w:w="122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676,643</w:t>
            </w:r>
          </w:p>
        </w:tc>
        <w:tc>
          <w:tcPr>
            <w:tcW w:w="0" w:type="dxa"/>
            <w:vAlign w:val="bottom"/>
          </w:tcPr>
          <w:p>
            <w:pPr>
              <w:spacing w:after="0"/>
              <w:rPr>
                <w:sz w:val="1"/>
                <w:szCs w:val="1"/>
                <w:color w:val="auto"/>
              </w:rPr>
            </w:pPr>
          </w:p>
        </w:tc>
      </w:tr>
      <w:tr>
        <w:trPr>
          <w:trHeight w:val="210"/>
        </w:trPr>
        <w:tc>
          <w:tcPr>
            <w:tcW w:w="8680" w:type="dxa"/>
            <w:vAlign w:val="bottom"/>
            <w:tcBorders>
              <w:top w:val="single" w:sz="8" w:color="CCEEFF"/>
              <w:bottom w:val="single" w:sz="8" w:color="CCEEFF"/>
            </w:tcBorders>
          </w:tcPr>
          <w:p>
            <w:pPr>
              <w:spacing w:after="0" w:line="203" w:lineRule="exact"/>
              <w:rPr>
                <w:sz w:val="20"/>
                <w:szCs w:val="20"/>
                <w:color w:val="auto"/>
              </w:rPr>
            </w:pPr>
            <w:r>
              <w:rPr>
                <w:rFonts w:ascii="Times New Roman" w:cs="Times New Roman" w:eastAsia="Times New Roman" w:hAnsi="Times New Roman"/>
                <w:sz w:val="18"/>
                <w:szCs w:val="18"/>
                <w:b w:val="1"/>
                <w:bCs w:val="1"/>
                <w:color w:val="auto"/>
              </w:rPr>
              <w:t>Net income attributable to ordinary shareholders</w:t>
            </w:r>
          </w:p>
        </w:tc>
        <w:tc>
          <w:tcPr>
            <w:tcW w:w="1120" w:type="dxa"/>
            <w:vAlign w:val="bottom"/>
            <w:tcBorders>
              <w:top w:val="single" w:sz="8" w:color="auto"/>
              <w:bottom w:val="single" w:sz="8" w:color="auto"/>
            </w:tcBorders>
          </w:tcPr>
          <w:p>
            <w:pPr>
              <w:jc w:val="right"/>
              <w:spacing w:after="0" w:line="203" w:lineRule="exact"/>
              <w:rPr>
                <w:sz w:val="20"/>
                <w:szCs w:val="20"/>
                <w:color w:val="auto"/>
              </w:rPr>
            </w:pPr>
            <w:r>
              <w:rPr>
                <w:rFonts w:ascii="Times New Roman" w:cs="Times New Roman" w:eastAsia="Times New Roman" w:hAnsi="Times New Roman"/>
                <w:sz w:val="18"/>
                <w:szCs w:val="18"/>
                <w:color w:val="auto"/>
              </w:rPr>
              <w:t>2,308,377</w:t>
            </w:r>
          </w:p>
        </w:tc>
        <w:tc>
          <w:tcPr>
            <w:tcW w:w="220" w:type="dxa"/>
            <w:vAlign w:val="bottom"/>
            <w:tcBorders>
              <w:top w:val="single" w:sz="8" w:color="CCEEFF"/>
              <w:bottom w:val="single" w:sz="8" w:color="CCEEFF"/>
            </w:tcBorders>
          </w:tcPr>
          <w:p>
            <w:pPr>
              <w:spacing w:after="0"/>
              <w:rPr>
                <w:sz w:val="18"/>
                <w:szCs w:val="18"/>
                <w:color w:val="auto"/>
              </w:rPr>
            </w:pPr>
          </w:p>
        </w:tc>
        <w:tc>
          <w:tcPr>
            <w:tcW w:w="1120" w:type="dxa"/>
            <w:vAlign w:val="bottom"/>
            <w:tcBorders>
              <w:top w:val="single" w:sz="8" w:color="auto"/>
              <w:bottom w:val="single" w:sz="8" w:color="auto"/>
            </w:tcBorders>
          </w:tcPr>
          <w:p>
            <w:pPr>
              <w:jc w:val="right"/>
              <w:spacing w:after="0" w:line="203" w:lineRule="exact"/>
              <w:rPr>
                <w:sz w:val="20"/>
                <w:szCs w:val="20"/>
                <w:color w:val="auto"/>
              </w:rPr>
            </w:pPr>
            <w:r>
              <w:rPr>
                <w:rFonts w:ascii="Times New Roman" w:cs="Times New Roman" w:eastAsia="Times New Roman" w:hAnsi="Times New Roman"/>
                <w:sz w:val="18"/>
                <w:szCs w:val="18"/>
                <w:color w:val="auto"/>
              </w:rPr>
              <w:t>2,302,875</w:t>
            </w:r>
          </w:p>
        </w:tc>
        <w:tc>
          <w:tcPr>
            <w:tcW w:w="100" w:type="dxa"/>
            <w:vAlign w:val="bottom"/>
            <w:tcBorders>
              <w:top w:val="single" w:sz="8" w:color="CCEEFF"/>
              <w:bottom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8680" w:type="dxa"/>
            <w:vAlign w:val="bottom"/>
            <w:shd w:val="clear" w:color="auto" w:fill="CCEEFF"/>
          </w:tcPr>
          <w:p>
            <w:pPr>
              <w:spacing w:after="0"/>
              <w:rPr>
                <w:sz w:val="18"/>
                <w:szCs w:val="18"/>
                <w:color w:val="auto"/>
              </w:rPr>
            </w:pPr>
          </w:p>
        </w:tc>
        <w:tc>
          <w:tcPr>
            <w:tcW w:w="11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8680" w:type="dxa"/>
            <w:vAlign w:val="bottom"/>
          </w:tcPr>
          <w:p>
            <w:pPr>
              <w:spacing w:after="0"/>
              <w:rPr>
                <w:sz w:val="20"/>
                <w:szCs w:val="20"/>
                <w:color w:val="auto"/>
              </w:rPr>
            </w:pPr>
            <w:r>
              <w:rPr>
                <w:rFonts w:ascii="Times New Roman" w:cs="Times New Roman" w:eastAsia="Times New Roman" w:hAnsi="Times New Roman"/>
                <w:sz w:val="18"/>
                <w:szCs w:val="18"/>
                <w:color w:val="auto"/>
              </w:rPr>
              <w:t>Net income (loss) attributable to non-controlling interest</w:t>
            </w:r>
          </w:p>
        </w:tc>
        <w:tc>
          <w:tcPr>
            <w:tcW w:w="134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w:t>
            </w:r>
          </w:p>
        </w:tc>
        <w:tc>
          <w:tcPr>
            <w:tcW w:w="1220" w:type="dxa"/>
            <w:vAlign w:val="bottom"/>
            <w:gridSpan w:val="2"/>
          </w:tcPr>
          <w:p>
            <w:pPr>
              <w:jc w:val="right"/>
              <w:ind w:right="40"/>
              <w:spacing w:after="0"/>
              <w:rPr>
                <w:sz w:val="20"/>
                <w:szCs w:val="20"/>
                <w:color w:val="auto"/>
              </w:rPr>
            </w:pPr>
            <w:r>
              <w:rPr>
                <w:rFonts w:ascii="Times New Roman" w:cs="Times New Roman" w:eastAsia="Times New Roman" w:hAnsi="Times New Roman"/>
                <w:sz w:val="18"/>
                <w:szCs w:val="18"/>
                <w:color w:val="auto"/>
              </w:rPr>
              <w:t>(16,538)</w:t>
            </w:r>
          </w:p>
        </w:tc>
        <w:tc>
          <w:tcPr>
            <w:tcW w:w="0" w:type="dxa"/>
            <w:vAlign w:val="bottom"/>
          </w:tcPr>
          <w:p>
            <w:pPr>
              <w:spacing w:after="0"/>
              <w:rPr>
                <w:sz w:val="1"/>
                <w:szCs w:val="1"/>
                <w:color w:val="auto"/>
              </w:rPr>
            </w:pPr>
          </w:p>
        </w:tc>
      </w:tr>
      <w:tr>
        <w:trPr>
          <w:trHeight w:val="216"/>
        </w:trPr>
        <w:tc>
          <w:tcPr>
            <w:tcW w:w="8680" w:type="dxa"/>
            <w:vAlign w:val="bottom"/>
            <w:shd w:val="clear" w:color="auto" w:fill="CCEEFF"/>
          </w:tcPr>
          <w:p>
            <w:pPr>
              <w:spacing w:after="0"/>
              <w:rPr>
                <w:sz w:val="18"/>
                <w:szCs w:val="18"/>
                <w:color w:val="auto"/>
              </w:rPr>
            </w:pPr>
          </w:p>
        </w:tc>
        <w:tc>
          <w:tcPr>
            <w:tcW w:w="11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7"/>
        </w:trPr>
        <w:tc>
          <w:tcPr>
            <w:tcW w:w="8680" w:type="dxa"/>
            <w:vAlign w:val="bottom"/>
          </w:tcPr>
          <w:p>
            <w:pPr>
              <w:spacing w:after="0"/>
              <w:rPr>
                <w:sz w:val="20"/>
                <w:szCs w:val="20"/>
                <w:color w:val="auto"/>
              </w:rPr>
            </w:pPr>
            <w:r>
              <w:rPr>
                <w:rFonts w:ascii="Times New Roman" w:cs="Times New Roman" w:eastAsia="Times New Roman" w:hAnsi="Times New Roman"/>
                <w:sz w:val="18"/>
                <w:szCs w:val="18"/>
                <w:b w:val="1"/>
                <w:bCs w:val="1"/>
                <w:color w:val="auto"/>
              </w:rPr>
              <w:t>Net income attributable to J-LONG GROUP LIMITED</w:t>
            </w:r>
          </w:p>
        </w:tc>
        <w:tc>
          <w:tcPr>
            <w:tcW w:w="134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2,308,377</w:t>
            </w:r>
          </w:p>
        </w:tc>
        <w:tc>
          <w:tcPr>
            <w:tcW w:w="122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2,319,413</w:t>
            </w:r>
          </w:p>
        </w:tc>
        <w:tc>
          <w:tcPr>
            <w:tcW w:w="0" w:type="dxa"/>
            <w:vAlign w:val="bottom"/>
          </w:tcPr>
          <w:p>
            <w:pPr>
              <w:spacing w:after="0"/>
              <w:rPr>
                <w:sz w:val="1"/>
                <w:szCs w:val="1"/>
                <w:color w:val="auto"/>
              </w:rPr>
            </w:pPr>
          </w:p>
        </w:tc>
      </w:tr>
      <w:tr>
        <w:trPr>
          <w:trHeight w:val="216"/>
        </w:trPr>
        <w:tc>
          <w:tcPr>
            <w:tcW w:w="8680" w:type="dxa"/>
            <w:vAlign w:val="bottom"/>
            <w:tcBorders>
              <w:top w:val="single" w:sz="8" w:color="CCEEFF"/>
            </w:tcBorders>
            <w:shd w:val="clear" w:color="auto" w:fill="CCEEFF"/>
          </w:tcPr>
          <w:p>
            <w:pPr>
              <w:spacing w:after="0"/>
              <w:rPr>
                <w:sz w:val="18"/>
                <w:szCs w:val="18"/>
                <w:color w:val="auto"/>
              </w:rPr>
            </w:pPr>
          </w:p>
        </w:tc>
        <w:tc>
          <w:tcPr>
            <w:tcW w:w="112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12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8680" w:type="dxa"/>
            <w:vAlign w:val="bottom"/>
          </w:tcPr>
          <w:p>
            <w:pPr>
              <w:spacing w:after="0"/>
              <w:rPr>
                <w:sz w:val="20"/>
                <w:szCs w:val="20"/>
                <w:color w:val="auto"/>
              </w:rPr>
            </w:pPr>
            <w:r>
              <w:rPr>
                <w:rFonts w:ascii="Times New Roman" w:cs="Times New Roman" w:eastAsia="Times New Roman" w:hAnsi="Times New Roman"/>
                <w:sz w:val="18"/>
                <w:szCs w:val="18"/>
                <w:b w:val="1"/>
                <w:bCs w:val="1"/>
                <w:color w:val="auto"/>
              </w:rPr>
              <w:t>Other comprehensive income/(loss)</w:t>
            </w:r>
          </w:p>
        </w:tc>
        <w:tc>
          <w:tcPr>
            <w:tcW w:w="11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162"/>
        </w:trPr>
        <w:tc>
          <w:tcPr>
            <w:tcW w:w="8680" w:type="dxa"/>
            <w:vAlign w:val="bottom"/>
            <w:vMerge w:val="restart"/>
            <w:shd w:val="clear" w:color="auto" w:fill="CCEEFF"/>
          </w:tcPr>
          <w:p>
            <w:pPr>
              <w:spacing w:after="0"/>
              <w:rPr>
                <w:sz w:val="20"/>
                <w:szCs w:val="20"/>
                <w:color w:val="auto"/>
              </w:rPr>
            </w:pPr>
            <w:r>
              <w:rPr>
                <w:rFonts w:ascii="Times New Roman" w:cs="Times New Roman" w:eastAsia="Times New Roman" w:hAnsi="Times New Roman"/>
                <w:sz w:val="18"/>
                <w:szCs w:val="18"/>
                <w:color w:val="auto"/>
              </w:rPr>
              <w:t>Foreign currency translation adjustments</w:t>
            </w:r>
          </w:p>
        </w:tc>
        <w:tc>
          <w:tcPr>
            <w:tcW w:w="1340" w:type="dxa"/>
            <w:vAlign w:val="bottom"/>
            <w:gridSpan w:val="2"/>
            <w:vMerge w:val="restart"/>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w:t>
            </w:r>
          </w:p>
        </w:tc>
        <w:tc>
          <w:tcPr>
            <w:tcW w:w="1220" w:type="dxa"/>
            <w:vAlign w:val="bottom"/>
            <w:gridSpan w:val="2"/>
            <w:shd w:val="clear" w:color="auto" w:fill="CCEEFF"/>
          </w:tcPr>
          <w:p>
            <w:pPr>
              <w:jc w:val="right"/>
              <w:ind w:right="40"/>
              <w:spacing w:after="0" w:line="162" w:lineRule="exact"/>
              <w:rPr>
                <w:sz w:val="20"/>
                <w:szCs w:val="20"/>
                <w:color w:val="auto"/>
              </w:rPr>
            </w:pPr>
            <w:r>
              <w:rPr>
                <w:rFonts w:ascii="Times New Roman" w:cs="Times New Roman" w:eastAsia="Times New Roman" w:hAnsi="Times New Roman"/>
                <w:sz w:val="18"/>
                <w:szCs w:val="18"/>
                <w:color w:val="auto"/>
              </w:rPr>
              <w:t>)</w:t>
            </w:r>
          </w:p>
        </w:tc>
        <w:tc>
          <w:tcPr>
            <w:tcW w:w="0" w:type="dxa"/>
            <w:vAlign w:val="bottom"/>
          </w:tcPr>
          <w:p>
            <w:pPr>
              <w:spacing w:after="0"/>
              <w:rPr>
                <w:sz w:val="1"/>
                <w:szCs w:val="1"/>
                <w:color w:val="auto"/>
              </w:rPr>
            </w:pPr>
          </w:p>
        </w:tc>
      </w:tr>
      <w:tr>
        <w:trPr>
          <w:trHeight w:val="88"/>
        </w:trPr>
        <w:tc>
          <w:tcPr>
            <w:tcW w:w="8680" w:type="dxa"/>
            <w:vAlign w:val="bottom"/>
            <w:vMerge w:val="continue"/>
            <w:shd w:val="clear" w:color="auto" w:fill="CCEEFF"/>
          </w:tcPr>
          <w:p>
            <w:pPr>
              <w:spacing w:after="0"/>
              <w:rPr>
                <w:sz w:val="7"/>
                <w:szCs w:val="7"/>
                <w:color w:val="auto"/>
              </w:rPr>
            </w:pPr>
          </w:p>
        </w:tc>
        <w:tc>
          <w:tcPr>
            <w:tcW w:w="1340" w:type="dxa"/>
            <w:vAlign w:val="bottom"/>
            <w:gridSpan w:val="2"/>
            <w:vMerge w:val="continue"/>
            <w:shd w:val="clear" w:color="auto" w:fill="CCEEFF"/>
          </w:tcPr>
          <w:p>
            <w:pPr>
              <w:spacing w:after="0"/>
              <w:rPr>
                <w:sz w:val="7"/>
                <w:szCs w:val="7"/>
                <w:color w:val="auto"/>
              </w:rPr>
            </w:pPr>
          </w:p>
        </w:tc>
        <w:tc>
          <w:tcPr>
            <w:tcW w:w="1220" w:type="dxa"/>
            <w:vAlign w:val="bottom"/>
            <w:gridSpan w:val="2"/>
            <w:shd w:val="clear" w:color="auto" w:fill="CCEEFF"/>
          </w:tcPr>
          <w:p>
            <w:pPr>
              <w:jc w:val="right"/>
              <w:ind w:right="100"/>
              <w:spacing w:after="0" w:line="68" w:lineRule="exact"/>
              <w:rPr>
                <w:sz w:val="20"/>
                <w:szCs w:val="20"/>
                <w:color w:val="auto"/>
              </w:rPr>
            </w:pPr>
            <w:r>
              <w:rPr>
                <w:rFonts w:ascii="Times New Roman" w:cs="Times New Roman" w:eastAsia="Times New Roman" w:hAnsi="Times New Roman"/>
                <w:sz w:val="7"/>
                <w:szCs w:val="7"/>
                <w:color w:val="auto"/>
              </w:rPr>
              <w:t>(36,176</w:t>
            </w:r>
          </w:p>
        </w:tc>
        <w:tc>
          <w:tcPr>
            <w:tcW w:w="0" w:type="dxa"/>
            <w:vAlign w:val="bottom"/>
          </w:tcPr>
          <w:p>
            <w:pPr>
              <w:spacing w:after="0"/>
              <w:rPr>
                <w:sz w:val="1"/>
                <w:szCs w:val="1"/>
                <w:color w:val="auto"/>
              </w:rPr>
            </w:pPr>
          </w:p>
        </w:tc>
      </w:tr>
      <w:tr>
        <w:trPr>
          <w:trHeight w:val="210"/>
        </w:trPr>
        <w:tc>
          <w:tcPr>
            <w:tcW w:w="8680" w:type="dxa"/>
            <w:vAlign w:val="bottom"/>
            <w:tcBorders>
              <w:top w:val="single" w:sz="8" w:color="CCEEFF"/>
              <w:bottom w:val="single" w:sz="8" w:color="CCEEFF"/>
            </w:tcBorders>
          </w:tcPr>
          <w:p>
            <w:pPr>
              <w:spacing w:after="0" w:line="203" w:lineRule="exact"/>
              <w:rPr>
                <w:sz w:val="20"/>
                <w:szCs w:val="20"/>
                <w:color w:val="auto"/>
              </w:rPr>
            </w:pPr>
            <w:r>
              <w:rPr>
                <w:rFonts w:ascii="Times New Roman" w:cs="Times New Roman" w:eastAsia="Times New Roman" w:hAnsi="Times New Roman"/>
                <w:sz w:val="18"/>
                <w:szCs w:val="18"/>
                <w:b w:val="1"/>
                <w:bCs w:val="1"/>
                <w:color w:val="auto"/>
              </w:rPr>
              <w:t>Total other comprehensive income</w:t>
            </w:r>
          </w:p>
        </w:tc>
        <w:tc>
          <w:tcPr>
            <w:tcW w:w="1120" w:type="dxa"/>
            <w:vAlign w:val="bottom"/>
            <w:tcBorders>
              <w:top w:val="single" w:sz="8" w:color="auto"/>
              <w:bottom w:val="single" w:sz="8" w:color="auto"/>
            </w:tcBorders>
          </w:tcPr>
          <w:p>
            <w:pPr>
              <w:jc w:val="right"/>
              <w:spacing w:after="0" w:line="203" w:lineRule="exact"/>
              <w:rPr>
                <w:sz w:val="20"/>
                <w:szCs w:val="20"/>
                <w:color w:val="auto"/>
              </w:rPr>
            </w:pPr>
            <w:r>
              <w:rPr>
                <w:rFonts w:ascii="Times New Roman" w:cs="Times New Roman" w:eastAsia="Times New Roman" w:hAnsi="Times New Roman"/>
                <w:sz w:val="18"/>
                <w:szCs w:val="18"/>
                <w:color w:val="auto"/>
              </w:rPr>
              <w:t>2,308,377</w:t>
            </w:r>
          </w:p>
        </w:tc>
        <w:tc>
          <w:tcPr>
            <w:tcW w:w="220" w:type="dxa"/>
            <w:vAlign w:val="bottom"/>
            <w:tcBorders>
              <w:top w:val="single" w:sz="8" w:color="CCEEFF"/>
              <w:bottom w:val="single" w:sz="8" w:color="CCEEFF"/>
            </w:tcBorders>
          </w:tcPr>
          <w:p>
            <w:pPr>
              <w:spacing w:after="0"/>
              <w:rPr>
                <w:sz w:val="18"/>
                <w:szCs w:val="18"/>
                <w:color w:val="auto"/>
              </w:rPr>
            </w:pPr>
          </w:p>
        </w:tc>
        <w:tc>
          <w:tcPr>
            <w:tcW w:w="1120" w:type="dxa"/>
            <w:vAlign w:val="bottom"/>
            <w:tcBorders>
              <w:top w:val="single" w:sz="8" w:color="auto"/>
              <w:bottom w:val="single" w:sz="8" w:color="auto"/>
            </w:tcBorders>
          </w:tcPr>
          <w:p>
            <w:pPr>
              <w:jc w:val="right"/>
              <w:spacing w:after="0" w:line="203" w:lineRule="exact"/>
              <w:rPr>
                <w:sz w:val="20"/>
                <w:szCs w:val="20"/>
                <w:color w:val="auto"/>
              </w:rPr>
            </w:pPr>
            <w:r>
              <w:rPr>
                <w:rFonts w:ascii="Times New Roman" w:cs="Times New Roman" w:eastAsia="Times New Roman" w:hAnsi="Times New Roman"/>
                <w:sz w:val="18"/>
                <w:szCs w:val="18"/>
                <w:color w:val="auto"/>
              </w:rPr>
              <w:t>2,283,237</w:t>
            </w:r>
          </w:p>
        </w:tc>
        <w:tc>
          <w:tcPr>
            <w:tcW w:w="100" w:type="dxa"/>
            <w:vAlign w:val="bottom"/>
            <w:tcBorders>
              <w:top w:val="single" w:sz="8" w:color="CCEEFF"/>
              <w:bottom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8680" w:type="dxa"/>
            <w:vAlign w:val="bottom"/>
            <w:shd w:val="clear" w:color="auto" w:fill="CCEEFF"/>
          </w:tcPr>
          <w:p>
            <w:pPr>
              <w:spacing w:after="0"/>
              <w:rPr>
                <w:sz w:val="18"/>
                <w:szCs w:val="18"/>
                <w:color w:val="auto"/>
              </w:rPr>
            </w:pPr>
          </w:p>
        </w:tc>
        <w:tc>
          <w:tcPr>
            <w:tcW w:w="11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6"/>
        </w:trPr>
        <w:tc>
          <w:tcPr>
            <w:tcW w:w="8680" w:type="dxa"/>
            <w:vAlign w:val="bottom"/>
          </w:tcPr>
          <w:p>
            <w:pPr>
              <w:spacing w:after="0"/>
              <w:rPr>
                <w:sz w:val="20"/>
                <w:szCs w:val="20"/>
                <w:color w:val="auto"/>
              </w:rPr>
            </w:pPr>
            <w:r>
              <w:rPr>
                <w:rFonts w:ascii="Times New Roman" w:cs="Times New Roman" w:eastAsia="Times New Roman" w:hAnsi="Times New Roman"/>
                <w:sz w:val="18"/>
                <w:szCs w:val="18"/>
                <w:b w:val="1"/>
                <w:bCs w:val="1"/>
                <w:color w:val="auto"/>
              </w:rPr>
              <w:t>Comprehensive income attributable to ordinary shareholders</w:t>
            </w:r>
          </w:p>
        </w:tc>
        <w:tc>
          <w:tcPr>
            <w:tcW w:w="134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2,308,377</w:t>
            </w:r>
          </w:p>
        </w:tc>
        <w:tc>
          <w:tcPr>
            <w:tcW w:w="122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2,283,237</w:t>
            </w:r>
          </w:p>
        </w:tc>
        <w:tc>
          <w:tcPr>
            <w:tcW w:w="0" w:type="dxa"/>
            <w:vAlign w:val="bottom"/>
          </w:tcPr>
          <w:p>
            <w:pPr>
              <w:spacing w:after="0"/>
              <w:rPr>
                <w:sz w:val="1"/>
                <w:szCs w:val="1"/>
                <w:color w:val="auto"/>
              </w:rPr>
            </w:pPr>
          </w:p>
        </w:tc>
      </w:tr>
      <w:tr>
        <w:trPr>
          <w:trHeight w:val="216"/>
        </w:trPr>
        <w:tc>
          <w:tcPr>
            <w:tcW w:w="8680" w:type="dxa"/>
            <w:vAlign w:val="bottom"/>
            <w:tcBorders>
              <w:top w:val="single" w:sz="8" w:color="CCEEFF"/>
            </w:tcBorders>
            <w:shd w:val="clear" w:color="auto" w:fill="CCEEFF"/>
          </w:tcPr>
          <w:p>
            <w:pPr>
              <w:spacing w:after="0"/>
              <w:rPr>
                <w:sz w:val="18"/>
                <w:szCs w:val="18"/>
                <w:color w:val="auto"/>
              </w:rPr>
            </w:pPr>
          </w:p>
        </w:tc>
        <w:tc>
          <w:tcPr>
            <w:tcW w:w="112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12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162"/>
        </w:trPr>
        <w:tc>
          <w:tcPr>
            <w:tcW w:w="8680" w:type="dxa"/>
            <w:vAlign w:val="bottom"/>
            <w:vMerge w:val="restart"/>
          </w:tcPr>
          <w:p>
            <w:pPr>
              <w:spacing w:after="0"/>
              <w:rPr>
                <w:sz w:val="20"/>
                <w:szCs w:val="20"/>
                <w:color w:val="auto"/>
              </w:rPr>
            </w:pPr>
            <w:r>
              <w:rPr>
                <w:rFonts w:ascii="Times New Roman" w:cs="Times New Roman" w:eastAsia="Times New Roman" w:hAnsi="Times New Roman"/>
                <w:sz w:val="18"/>
                <w:szCs w:val="18"/>
                <w:color w:val="auto"/>
              </w:rPr>
              <w:t>Comprehensive income attributable to non-controlling interest</w:t>
            </w:r>
          </w:p>
        </w:tc>
        <w:tc>
          <w:tcPr>
            <w:tcW w:w="1340" w:type="dxa"/>
            <w:vAlign w:val="bottom"/>
            <w:gridSpan w:val="2"/>
            <w:vMerge w:val="restart"/>
          </w:tcPr>
          <w:p>
            <w:pPr>
              <w:jc w:val="right"/>
              <w:ind w:right="220"/>
              <w:spacing w:after="0"/>
              <w:rPr>
                <w:sz w:val="20"/>
                <w:szCs w:val="20"/>
                <w:color w:val="auto"/>
              </w:rPr>
            </w:pPr>
            <w:r>
              <w:rPr>
                <w:rFonts w:ascii="Times New Roman" w:cs="Times New Roman" w:eastAsia="Times New Roman" w:hAnsi="Times New Roman"/>
                <w:sz w:val="18"/>
                <w:szCs w:val="18"/>
                <w:color w:val="auto"/>
              </w:rPr>
              <w:t>-</w:t>
            </w:r>
          </w:p>
        </w:tc>
        <w:tc>
          <w:tcPr>
            <w:tcW w:w="1220" w:type="dxa"/>
            <w:vAlign w:val="bottom"/>
            <w:gridSpan w:val="2"/>
          </w:tcPr>
          <w:p>
            <w:pPr>
              <w:jc w:val="right"/>
              <w:ind w:right="40"/>
              <w:spacing w:after="0" w:line="162" w:lineRule="exact"/>
              <w:rPr>
                <w:sz w:val="20"/>
                <w:szCs w:val="20"/>
                <w:color w:val="auto"/>
              </w:rPr>
            </w:pPr>
            <w:r>
              <w:rPr>
                <w:rFonts w:ascii="Times New Roman" w:cs="Times New Roman" w:eastAsia="Times New Roman" w:hAnsi="Times New Roman"/>
                <w:sz w:val="18"/>
                <w:szCs w:val="18"/>
                <w:color w:val="auto"/>
              </w:rPr>
              <w:t>)</w:t>
            </w:r>
          </w:p>
        </w:tc>
        <w:tc>
          <w:tcPr>
            <w:tcW w:w="0" w:type="dxa"/>
            <w:vAlign w:val="bottom"/>
          </w:tcPr>
          <w:p>
            <w:pPr>
              <w:spacing w:after="0"/>
              <w:rPr>
                <w:sz w:val="1"/>
                <w:szCs w:val="1"/>
                <w:color w:val="auto"/>
              </w:rPr>
            </w:pPr>
          </w:p>
        </w:tc>
      </w:tr>
      <w:tr>
        <w:trPr>
          <w:trHeight w:val="75"/>
        </w:trPr>
        <w:tc>
          <w:tcPr>
            <w:tcW w:w="8680" w:type="dxa"/>
            <w:vAlign w:val="bottom"/>
            <w:vMerge w:val="continue"/>
          </w:tcPr>
          <w:p>
            <w:pPr>
              <w:spacing w:after="0"/>
              <w:rPr>
                <w:sz w:val="6"/>
                <w:szCs w:val="6"/>
                <w:color w:val="auto"/>
              </w:rPr>
            </w:pPr>
          </w:p>
        </w:tc>
        <w:tc>
          <w:tcPr>
            <w:tcW w:w="1340" w:type="dxa"/>
            <w:vAlign w:val="bottom"/>
            <w:gridSpan w:val="2"/>
            <w:vMerge w:val="continue"/>
          </w:tcPr>
          <w:p>
            <w:pPr>
              <w:spacing w:after="0"/>
              <w:rPr>
                <w:sz w:val="6"/>
                <w:szCs w:val="6"/>
                <w:color w:val="auto"/>
              </w:rPr>
            </w:pPr>
          </w:p>
        </w:tc>
        <w:tc>
          <w:tcPr>
            <w:tcW w:w="1220" w:type="dxa"/>
            <w:vAlign w:val="bottom"/>
            <w:gridSpan w:val="2"/>
          </w:tcPr>
          <w:p>
            <w:pPr>
              <w:jc w:val="right"/>
              <w:ind w:right="100"/>
              <w:spacing w:after="0" w:line="68" w:lineRule="exact"/>
              <w:rPr>
                <w:sz w:val="20"/>
                <w:szCs w:val="20"/>
                <w:color w:val="auto"/>
              </w:rPr>
            </w:pPr>
            <w:r>
              <w:rPr>
                <w:rFonts w:ascii="Times New Roman" w:cs="Times New Roman" w:eastAsia="Times New Roman" w:hAnsi="Times New Roman"/>
                <w:sz w:val="7"/>
                <w:szCs w:val="7"/>
                <w:color w:val="auto"/>
              </w:rPr>
              <w:t>(16,538</w:t>
            </w:r>
          </w:p>
        </w:tc>
        <w:tc>
          <w:tcPr>
            <w:tcW w:w="0" w:type="dxa"/>
            <w:vAlign w:val="bottom"/>
          </w:tcPr>
          <w:p>
            <w:pPr>
              <w:spacing w:after="0"/>
              <w:rPr>
                <w:sz w:val="1"/>
                <w:szCs w:val="1"/>
                <w:color w:val="auto"/>
              </w:rPr>
            </w:pPr>
          </w:p>
        </w:tc>
      </w:tr>
      <w:tr>
        <w:trPr>
          <w:trHeight w:val="216"/>
        </w:trPr>
        <w:tc>
          <w:tcPr>
            <w:tcW w:w="8680" w:type="dxa"/>
            <w:vAlign w:val="bottom"/>
            <w:tcBorders>
              <w:top w:val="single" w:sz="8" w:color="CCEEFF"/>
            </w:tcBorders>
            <w:shd w:val="clear" w:color="auto" w:fill="CCEEFF"/>
          </w:tcPr>
          <w:p>
            <w:pPr>
              <w:spacing w:after="0"/>
              <w:rPr>
                <w:sz w:val="18"/>
                <w:szCs w:val="18"/>
                <w:color w:val="auto"/>
              </w:rPr>
            </w:pPr>
          </w:p>
        </w:tc>
        <w:tc>
          <w:tcPr>
            <w:tcW w:w="112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12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6"/>
        </w:trPr>
        <w:tc>
          <w:tcPr>
            <w:tcW w:w="8680" w:type="dxa"/>
            <w:vAlign w:val="bottom"/>
          </w:tcPr>
          <w:p>
            <w:pPr>
              <w:spacing w:after="0"/>
              <w:rPr>
                <w:sz w:val="20"/>
                <w:szCs w:val="20"/>
                <w:color w:val="auto"/>
              </w:rPr>
            </w:pPr>
            <w:r>
              <w:rPr>
                <w:rFonts w:ascii="Times New Roman" w:cs="Times New Roman" w:eastAsia="Times New Roman" w:hAnsi="Times New Roman"/>
                <w:sz w:val="18"/>
                <w:szCs w:val="18"/>
                <w:b w:val="1"/>
                <w:bCs w:val="1"/>
                <w:color w:val="auto"/>
              </w:rPr>
              <w:t>Total comprehensive income attributable to J-LONG GROUP LIMITED</w:t>
            </w:r>
          </w:p>
        </w:tc>
        <w:tc>
          <w:tcPr>
            <w:tcW w:w="134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2,308,377</w:t>
            </w:r>
          </w:p>
        </w:tc>
        <w:tc>
          <w:tcPr>
            <w:tcW w:w="122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2,266,699</w:t>
            </w:r>
          </w:p>
        </w:tc>
        <w:tc>
          <w:tcPr>
            <w:tcW w:w="0" w:type="dxa"/>
            <w:vAlign w:val="bottom"/>
          </w:tcPr>
          <w:p>
            <w:pPr>
              <w:spacing w:after="0"/>
              <w:rPr>
                <w:sz w:val="1"/>
                <w:szCs w:val="1"/>
                <w:color w:val="auto"/>
              </w:rPr>
            </w:pPr>
          </w:p>
        </w:tc>
      </w:tr>
      <w:tr>
        <w:trPr>
          <w:trHeight w:val="216"/>
        </w:trPr>
        <w:tc>
          <w:tcPr>
            <w:tcW w:w="8680" w:type="dxa"/>
            <w:vAlign w:val="bottom"/>
            <w:tcBorders>
              <w:top w:val="single" w:sz="8" w:color="CCEEFF"/>
            </w:tcBorders>
            <w:shd w:val="clear" w:color="auto" w:fill="CCEEFF"/>
          </w:tcPr>
          <w:p>
            <w:pPr>
              <w:spacing w:after="0"/>
              <w:rPr>
                <w:sz w:val="18"/>
                <w:szCs w:val="18"/>
                <w:color w:val="auto"/>
              </w:rPr>
            </w:pPr>
          </w:p>
        </w:tc>
        <w:tc>
          <w:tcPr>
            <w:tcW w:w="112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12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8680" w:type="dxa"/>
            <w:vAlign w:val="bottom"/>
          </w:tcPr>
          <w:p>
            <w:pPr>
              <w:spacing w:after="0"/>
              <w:rPr>
                <w:sz w:val="20"/>
                <w:szCs w:val="20"/>
                <w:color w:val="auto"/>
              </w:rPr>
            </w:pPr>
            <w:r>
              <w:rPr>
                <w:rFonts w:ascii="Times New Roman" w:cs="Times New Roman" w:eastAsia="Times New Roman" w:hAnsi="Times New Roman"/>
                <w:sz w:val="18"/>
                <w:szCs w:val="18"/>
                <w:b w:val="1"/>
                <w:bCs w:val="1"/>
                <w:color w:val="auto"/>
              </w:rPr>
              <w:t>Net income per share attributable to ordinary shareholders</w:t>
            </w:r>
          </w:p>
        </w:tc>
        <w:tc>
          <w:tcPr>
            <w:tcW w:w="11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50"/>
        </w:trPr>
        <w:tc>
          <w:tcPr>
            <w:tcW w:w="868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Basic and diluted</w:t>
            </w:r>
          </w:p>
        </w:tc>
        <w:tc>
          <w:tcPr>
            <w:tcW w:w="13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0.74</w:t>
            </w:r>
          </w:p>
        </w:tc>
        <w:tc>
          <w:tcPr>
            <w:tcW w:w="122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0.62</w:t>
            </w:r>
          </w:p>
        </w:tc>
        <w:tc>
          <w:tcPr>
            <w:tcW w:w="0" w:type="dxa"/>
            <w:vAlign w:val="bottom"/>
          </w:tcPr>
          <w:p>
            <w:pPr>
              <w:spacing w:after="0"/>
              <w:rPr>
                <w:sz w:val="1"/>
                <w:szCs w:val="1"/>
                <w:color w:val="auto"/>
              </w:rPr>
            </w:pPr>
          </w:p>
        </w:tc>
      </w:tr>
      <w:tr>
        <w:trPr>
          <w:trHeight w:val="203"/>
        </w:trPr>
        <w:tc>
          <w:tcPr>
            <w:tcW w:w="8680" w:type="dxa"/>
            <w:vAlign w:val="bottom"/>
            <w:tcBorders>
              <w:top w:val="single" w:sz="8" w:color="CCEEFF"/>
            </w:tcBorders>
          </w:tcPr>
          <w:p>
            <w:pPr>
              <w:spacing w:after="0" w:line="203" w:lineRule="exact"/>
              <w:rPr>
                <w:sz w:val="20"/>
                <w:szCs w:val="20"/>
                <w:color w:val="auto"/>
              </w:rPr>
            </w:pPr>
            <w:r>
              <w:rPr>
                <w:rFonts w:ascii="Times New Roman" w:cs="Times New Roman" w:eastAsia="Times New Roman" w:hAnsi="Times New Roman"/>
                <w:sz w:val="18"/>
                <w:szCs w:val="18"/>
                <w:b w:val="1"/>
                <w:bCs w:val="1"/>
                <w:color w:val="auto"/>
              </w:rPr>
              <w:t>Weighted average number of ordinary shares used in computing net income per share</w:t>
            </w:r>
          </w:p>
        </w:tc>
        <w:tc>
          <w:tcPr>
            <w:tcW w:w="1120" w:type="dxa"/>
            <w:vAlign w:val="bottom"/>
            <w:tcBorders>
              <w:top w:val="single" w:sz="8" w:color="auto"/>
            </w:tcBorders>
          </w:tcPr>
          <w:p>
            <w:pPr>
              <w:spacing w:after="0"/>
              <w:rPr>
                <w:sz w:val="17"/>
                <w:szCs w:val="17"/>
                <w:color w:val="auto"/>
              </w:rPr>
            </w:pPr>
          </w:p>
        </w:tc>
        <w:tc>
          <w:tcPr>
            <w:tcW w:w="220" w:type="dxa"/>
            <w:vAlign w:val="bottom"/>
            <w:tcBorders>
              <w:top w:val="single" w:sz="8" w:color="CCEEFF"/>
            </w:tcBorders>
          </w:tcPr>
          <w:p>
            <w:pPr>
              <w:spacing w:after="0"/>
              <w:rPr>
                <w:sz w:val="17"/>
                <w:szCs w:val="17"/>
                <w:color w:val="auto"/>
              </w:rPr>
            </w:pPr>
          </w:p>
        </w:tc>
        <w:tc>
          <w:tcPr>
            <w:tcW w:w="1120" w:type="dxa"/>
            <w:vAlign w:val="bottom"/>
            <w:tcBorders>
              <w:top w:val="single" w:sz="8" w:color="auto"/>
            </w:tcBorders>
          </w:tcPr>
          <w:p>
            <w:pPr>
              <w:spacing w:after="0"/>
              <w:rPr>
                <w:sz w:val="17"/>
                <w:szCs w:val="17"/>
                <w:color w:val="auto"/>
              </w:rPr>
            </w:pPr>
          </w:p>
        </w:tc>
        <w:tc>
          <w:tcPr>
            <w:tcW w:w="100" w:type="dxa"/>
            <w:vAlign w:val="bottom"/>
            <w:tcBorders>
              <w:top w:val="single" w:sz="8" w:color="CCEEFF"/>
            </w:tcBorders>
          </w:tcPr>
          <w:p>
            <w:pPr>
              <w:spacing w:after="0"/>
              <w:rPr>
                <w:sz w:val="17"/>
                <w:szCs w:val="17"/>
                <w:color w:val="auto"/>
              </w:rPr>
            </w:pPr>
          </w:p>
        </w:tc>
        <w:tc>
          <w:tcPr>
            <w:tcW w:w="0" w:type="dxa"/>
            <w:vAlign w:val="bottom"/>
          </w:tcPr>
          <w:p>
            <w:pPr>
              <w:spacing w:after="0"/>
              <w:rPr>
                <w:sz w:val="1"/>
                <w:szCs w:val="1"/>
                <w:color w:val="auto"/>
              </w:rPr>
            </w:pPr>
          </w:p>
        </w:tc>
      </w:tr>
      <w:tr>
        <w:trPr>
          <w:trHeight w:val="250"/>
        </w:trPr>
        <w:tc>
          <w:tcPr>
            <w:tcW w:w="868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Basic and diluted</w:t>
            </w:r>
          </w:p>
        </w:tc>
        <w:tc>
          <w:tcPr>
            <w:tcW w:w="13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3,140,000</w:t>
            </w:r>
          </w:p>
        </w:tc>
        <w:tc>
          <w:tcPr>
            <w:tcW w:w="122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3,760,517</w:t>
            </w:r>
          </w:p>
        </w:tc>
        <w:tc>
          <w:tcPr>
            <w:tcW w:w="0" w:type="dxa"/>
            <w:vAlign w:val="bottom"/>
          </w:tcPr>
          <w:p>
            <w:pPr>
              <w:spacing w:after="0"/>
              <w:rPr>
                <w:sz w:val="1"/>
                <w:szCs w:val="1"/>
                <w:color w:val="auto"/>
              </w:rPr>
            </w:pPr>
          </w:p>
        </w:tc>
      </w:tr>
      <w:tr>
        <w:trPr>
          <w:trHeight w:val="642"/>
        </w:trPr>
        <w:tc>
          <w:tcPr>
            <w:tcW w:w="8680" w:type="dxa"/>
            <w:vAlign w:val="bottom"/>
            <w:tcBorders>
              <w:top w:val="single" w:sz="8" w:color="CCEEFF"/>
              <w:bottom w:val="single" w:sz="8" w:color="auto"/>
            </w:tcBorders>
          </w:tcPr>
          <w:p>
            <w:pPr>
              <w:ind w:left="5580"/>
              <w:spacing w:after="0"/>
              <w:rPr>
                <w:sz w:val="20"/>
                <w:szCs w:val="20"/>
                <w:color w:val="auto"/>
              </w:rPr>
            </w:pPr>
            <w:r>
              <w:rPr>
                <w:rFonts w:ascii="Times New Roman" w:cs="Times New Roman" w:eastAsia="Times New Roman" w:hAnsi="Times New Roman"/>
                <w:sz w:val="18"/>
                <w:szCs w:val="18"/>
                <w:color w:val="auto"/>
              </w:rPr>
              <w:t>5</w:t>
            </w:r>
          </w:p>
        </w:tc>
        <w:tc>
          <w:tcPr>
            <w:tcW w:w="1120" w:type="dxa"/>
            <w:vAlign w:val="bottom"/>
            <w:tcBorders>
              <w:top w:val="single" w:sz="8" w:color="auto"/>
              <w:bottom w:val="single" w:sz="8" w:color="auto"/>
            </w:tcBorders>
          </w:tcPr>
          <w:p>
            <w:pPr>
              <w:spacing w:after="0"/>
              <w:rPr>
                <w:sz w:val="24"/>
                <w:szCs w:val="24"/>
                <w:color w:val="auto"/>
              </w:rPr>
            </w:pPr>
          </w:p>
        </w:tc>
        <w:tc>
          <w:tcPr>
            <w:tcW w:w="220" w:type="dxa"/>
            <w:vAlign w:val="bottom"/>
            <w:tcBorders>
              <w:top w:val="single" w:sz="8" w:color="CCEEFF"/>
              <w:bottom w:val="single" w:sz="8" w:color="auto"/>
            </w:tcBorders>
          </w:tcPr>
          <w:p>
            <w:pPr>
              <w:spacing w:after="0"/>
              <w:rPr>
                <w:sz w:val="24"/>
                <w:szCs w:val="24"/>
                <w:color w:val="auto"/>
              </w:rPr>
            </w:pPr>
          </w:p>
        </w:tc>
        <w:tc>
          <w:tcPr>
            <w:tcW w:w="1120" w:type="dxa"/>
            <w:vAlign w:val="bottom"/>
            <w:tcBorders>
              <w:top w:val="single" w:sz="8" w:color="auto"/>
              <w:bottom w:val="single" w:sz="8" w:color="auto"/>
            </w:tcBorders>
          </w:tcPr>
          <w:p>
            <w:pPr>
              <w:spacing w:after="0"/>
              <w:rPr>
                <w:sz w:val="24"/>
                <w:szCs w:val="24"/>
                <w:color w:val="auto"/>
              </w:rPr>
            </w:pPr>
          </w:p>
        </w:tc>
        <w:tc>
          <w:tcPr>
            <w:tcW w:w="100" w:type="dxa"/>
            <w:vAlign w:val="bottom"/>
            <w:tcBorders>
              <w:top w:val="single" w:sz="8" w:color="CCEEFF"/>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pacing w:after="0" w:line="1" w:lineRule="exact"/>
        <w:rPr>
          <w:sz w:val="20"/>
          <w:szCs w:val="20"/>
          <w:color w:val="auto"/>
        </w:rPr>
      </w:pPr>
    </w:p>
    <w:sectPr>
      <w:pgSz w:w="11900" w:h="16838" w:orient="portrait"/>
      <w:cols w:equalWidth="0" w:num="1">
        <w:col w:w="11240"/>
      </w:cols>
      <w:pgMar w:left="320" w:top="333" w:right="33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8000012" w:usb3="00000000" w:csb0="4002009F" w:csb1="DFD70000"/>
  </w:font>
</w:fonts>
</file>

<file path=word/numbering.xml><?xml version="1.0" encoding="utf-8"?>
<w:numbering xmlns:w="http://schemas.openxmlformats.org/wordprocessingml/2006/main">
  <w:abstractNum w:abstractNumId="0">
    <w:nsid w:val="643C9869"/>
    <w:multiLevelType w:val="hybridMultilevel"/>
    <w:lvl w:ilvl="0">
      <w:lvlJc w:val="left"/>
      <w:lvlText w:val="●"/>
      <w:numFmt w:val="bullet"/>
      <w:start w:val="1"/>
    </w:lvl>
  </w:abstractNum>
  <w:abstractNum w:abstractNumId="1">
    <w:nsid w:val="66334873"/>
    <w:multiLevelType w:val="hybridMultilevel"/>
    <w:lvl w:ilvl="0">
      <w:lvlJc w:val="left"/>
      <w:lvlText w:val="●"/>
      <w:numFmt w:val="bullet"/>
      <w:start w:val="1"/>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image" Target="media/image12.png"/><Relationship Id="rId20" Type="http://schemas.openxmlformats.org/officeDocument/2006/relationships/image" Target="media/image13.png"/><Relationship Id="rId21" Type="http://schemas.openxmlformats.org/officeDocument/2006/relationships/image" Target="media/image14.jpeg"/><Relationship Id="rId22" Type="http://schemas.openxmlformats.org/officeDocument/2006/relationships/image" Target="media/image15.png"/><Relationship Id="rId23" Type="http://schemas.openxmlformats.org/officeDocument/2006/relationships/image" Target="media/image16.png"/><Relationship Id="rId24" Type="http://schemas.openxmlformats.org/officeDocument/2006/relationships/image" Target="media/image17.png"/><Relationship Id="rId25" Type="http://schemas.openxmlformats.org/officeDocument/2006/relationships/image" Target="media/image18.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2025-12-23T08:08:18Z</dcterms:created>
  <dcterms:modified xsi:type="dcterms:W3CDTF">2025-12-23T08:08:18Z</dcterms:modified>
</cp:coreProperties>
</file>