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pPr>
        <w:spacing w:before="0" w:after="0"/>
      </w:pPr>
      <w:r>
        <w:rPr>
          <w:rFonts w:ascii="Times New Roman" w:eastAsia="Times New Roman" w:hAnsi="Times New Roman" w:cs="Times New Roman"/>
          <w:sz w:val="24"/>
          <w:szCs w:val="24"/>
        </w:rPr>
        <w:t xml:space="preserve">6-K </w:t>
      </w: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 xml:space="preserve">ea0257355-6k_jlong.htm </w:t>
      </w:r>
      <w:r>
        <w:rPr>
          <w:rFonts w:ascii="Times New Roman" w:eastAsia="Times New Roman" w:hAnsi="Times New Roman" w:cs="Times New Roman"/>
          <w:sz w:val="24"/>
          <w:szCs w:val="24"/>
        </w:rPr>
        <w:t>REPORT OF FOREIGN PRIVATE ISSUER</w:t>
      </w:r>
    </w:p>
    <w:p>
      <w:pPr>
        <w:pBdr>
          <w:top w:val="single" w:sz="16" w:color="000000"/>
          <w:bottom w:val="single" w:sz="8" w:color="000000"/>
        </w:pBdr>
        <w:shd w:val="clear" w:fill="FFFFFF"/>
        <w:spacing w:before="140" w:beforeAutospacing="false" w:after="0"/>
        <w:ind w:left="140" w:right="140"/>
        <w:rPr>
          <w:rFonts w:ascii="Times New Roman" w:eastAsia="Times New Roman" w:hAnsi="Times New Roman" w:cs="Times New Roman"/>
          <w:sz w:val="2"/>
          <w:szCs w:val="2"/>
        </w:rPr>
      </w:pPr>
      <w:r>
        <w:rPr>
          <w:rFonts w:ascii="Times New Roman" w:eastAsia="Times New Roman" w:hAnsi="Times New Roman" w:cs="Times New Roman"/>
          <w:sz w:val="2"/>
          <w:szCs w:val="2"/>
        </w:rPr>
        <w:t xml:space="preserve"> </w:t>
      </w:r>
    </w:p>
    <w:p>
      <w:pPr>
        <w:shd w:val="clear" w:fill="FFFFFF"/>
        <w:spacing w:before="0" w:after="0"/>
        <w:ind w:left="140" w:right="140"/>
        <w:jc w:val="center"/>
        <w:rPr>
          <w:rFonts w:ascii="Times New Roman" w:eastAsia="Times New Roman" w:hAnsi="Times New Roman" w:cs="Times New Roman"/>
          <w:sz w:val="24"/>
          <w:szCs w:val="24"/>
        </w:rPr>
      </w:pPr>
    </w:p>
    <w:p>
      <w:pPr>
        <w:shd w:val="clear" w:fill="FFFFFF"/>
        <w:spacing w:before="0" w:after="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UNITED STATES</w:t>
      </w:r>
    </w:p>
    <w:p>
      <w:pPr>
        <w:shd w:val="clear" w:fill="FFFFFF"/>
        <w:spacing w:before="0" w:after="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SECURITIES AND EXCHANGE COMMISSION</w:t>
      </w:r>
    </w:p>
    <w:p>
      <w:pPr>
        <w:shd w:val="clear" w:fill="FFFFFF"/>
        <w:spacing w:before="0" w:after="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Washington, D.C. 20549</w:t>
      </w:r>
    </w:p>
    <w:p>
      <w:pPr>
        <w:shd w:val="clear" w:fill="FFFFFF"/>
        <w:spacing w:before="0" w:after="0"/>
        <w:ind w:left="140" w:right="140"/>
        <w:jc w:val="center"/>
        <w:rPr>
          <w:rFonts w:ascii="Times New Roman" w:eastAsia="Times New Roman" w:hAnsi="Times New Roman" w:cs="Times New Roman"/>
          <w:sz w:val="24"/>
          <w:szCs w:val="24"/>
        </w:rPr>
      </w:pPr>
    </w:p>
    <w:p>
      <w:pPr>
        <w:shd w:val="clear" w:fill="FFFFFF"/>
        <w:spacing w:before="0" w:after="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Form 6-K</w:t>
      </w:r>
    </w:p>
    <w:p>
      <w:pPr>
        <w:shd w:val="clear" w:fill="FFFFFF"/>
        <w:spacing w:before="0" w:after="0"/>
        <w:ind w:left="140" w:right="140"/>
        <w:jc w:val="center"/>
        <w:rPr>
          <w:rFonts w:ascii="Times New Roman" w:eastAsia="Times New Roman" w:hAnsi="Times New Roman" w:cs="Times New Roman"/>
          <w:sz w:val="24"/>
          <w:szCs w:val="24"/>
        </w:rPr>
      </w:pPr>
    </w:p>
    <w:p>
      <w:pPr>
        <w:shd w:val="clear" w:fill="FFFFFF"/>
        <w:spacing w:before="0" w:after="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REPORT OF FOREIGN PRIVATE ISSUER PURSUANT TO RULE 13a-16 OR 15d-16</w:t>
      </w:r>
    </w:p>
    <w:p>
      <w:pPr>
        <w:shd w:val="clear" w:fill="FFFFFF"/>
        <w:spacing w:before="0" w:after="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UNDER THE SECURITIES EXCHANGE ACT OF 1934</w:t>
      </w:r>
    </w:p>
    <w:p>
      <w:pPr>
        <w:shd w:val="clear" w:fill="FFFFFF"/>
        <w:spacing w:before="0" w:after="0"/>
        <w:ind w:left="140" w:right="140"/>
        <w:jc w:val="center"/>
        <w:rPr>
          <w:rFonts w:ascii="Times New Roman" w:eastAsia="Times New Roman" w:hAnsi="Times New Roman" w:cs="Times New Roman"/>
          <w:sz w:val="24"/>
          <w:szCs w:val="24"/>
        </w:rPr>
      </w:pPr>
    </w:p>
    <w:p>
      <w:pPr>
        <w:shd w:val="clear" w:fill="FFFFFF"/>
        <w:spacing w:before="0" w:after="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For the month of September 2025</w:t>
      </w:r>
    </w:p>
    <w:p>
      <w:pPr>
        <w:shd w:val="clear" w:fill="FFFFFF"/>
        <w:spacing w:before="0" w:after="0"/>
        <w:ind w:left="140" w:right="140"/>
        <w:jc w:val="center"/>
        <w:rPr>
          <w:rFonts w:ascii="Times New Roman" w:eastAsia="Times New Roman" w:hAnsi="Times New Roman" w:cs="Times New Roman"/>
          <w:sz w:val="24"/>
          <w:szCs w:val="24"/>
        </w:rPr>
      </w:pPr>
    </w:p>
    <w:p>
      <w:pPr>
        <w:shd w:val="clear" w:fill="FFFFFF"/>
        <w:spacing w:before="0" w:after="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 File Number: 001-41901</w:t>
      </w:r>
    </w:p>
    <w:p>
      <w:pPr>
        <w:shd w:val="clear" w:fill="FFFFFF"/>
        <w:spacing w:before="0" w:after="0"/>
        <w:ind w:left="140" w:right="140"/>
        <w:jc w:val="center"/>
        <w:rPr>
          <w:rFonts w:ascii="Times New Roman" w:eastAsia="Times New Roman" w:hAnsi="Times New Roman" w:cs="Times New Roman"/>
          <w:sz w:val="24"/>
          <w:szCs w:val="24"/>
        </w:rPr>
      </w:pPr>
    </w:p>
    <w:p>
      <w:pPr>
        <w:shd w:val="clear" w:fill="FFFFFF"/>
        <w:spacing w:before="0" w:after="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color="000000" w:val="single"/>
        </w:rPr>
        <w:t>J-Long Group Limited</w:t>
      </w:r>
    </w:p>
    <w:p>
      <w:pPr>
        <w:shd w:val="clear" w:fill="FFFFFF"/>
        <w:spacing w:before="0" w:after="0"/>
        <w:ind w:left="140" w:right="140"/>
        <w:jc w:val="center"/>
        <w:rPr>
          <w:rFonts w:ascii="Times New Roman" w:eastAsia="Times New Roman" w:hAnsi="Times New Roman" w:cs="Times New Roman"/>
          <w:sz w:val="24"/>
          <w:szCs w:val="24"/>
        </w:rPr>
      </w:pPr>
    </w:p>
    <w:p>
      <w:pPr>
        <w:shd w:val="clear" w:fill="FFFFFF"/>
        <w:spacing w:before="0" w:after="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Flat F, 8/F, Houston Industrial Building</w:t>
      </w:r>
    </w:p>
    <w:p>
      <w:pPr>
        <w:shd w:val="clear" w:fill="FFFFFF"/>
        <w:spacing w:before="0" w:after="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32-40 Wang Lung Street, Tsuen Wan</w:t>
      </w:r>
    </w:p>
    <w:p>
      <w:pPr>
        <w:shd w:val="clear" w:fill="FFFFFF"/>
        <w:spacing w:before="0" w:after="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New Territories, Hong Kong</w:t>
      </w:r>
    </w:p>
    <w:p>
      <w:pPr>
        <w:shd w:val="clear" w:fill="FFFFFF"/>
        <w:spacing w:before="0" w:after="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(Address of principal executive office)</w:t>
      </w:r>
    </w:p>
    <w:p>
      <w:pPr>
        <w:shd w:val="clear" w:fill="FFFFFF"/>
        <w:spacing w:before="0" w:after="0"/>
        <w:ind w:left="140" w:right="140"/>
        <w:jc w:val="center"/>
        <w:rPr>
          <w:rFonts w:ascii="Times New Roman" w:eastAsia="Times New Roman" w:hAnsi="Times New Roman" w:cs="Times New Roman"/>
          <w:sz w:val="24"/>
          <w:szCs w:val="24"/>
        </w:rPr>
      </w:pPr>
    </w:p>
    <w:p>
      <w:pPr>
        <w:shd w:val="clear" w:fill="FFFFFF"/>
        <w:spacing w:before="0" w:after="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Indicate by check mark whether the registrant files or will file annual reports under cover of Form 20-F or Form 40-F.</w:t>
      </w:r>
    </w:p>
    <w:p>
      <w:pPr>
        <w:shd w:val="clear" w:fill="FFFFFF"/>
        <w:spacing w:before="0" w:after="0"/>
        <w:ind w:left="140" w:right="140"/>
        <w:rPr>
          <w:rFonts w:ascii="Times New Roman" w:eastAsia="Times New Roman" w:hAnsi="Times New Roman" w:cs="Times New Roman"/>
          <w:sz w:val="24"/>
          <w:szCs w:val="24"/>
        </w:rPr>
      </w:pPr>
    </w:p>
    <w:p>
      <w:pPr>
        <w:shd w:val="clear" w:fill="FFFFFF"/>
        <w:spacing w:before="0" w:after="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 20-F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Form 40-F </w:t>
      </w:r>
      <w:r>
        <w:rPr>
          <w:rFonts w:ascii="times new roman" w:eastAsia="times new roman" w:hAnsi="times new roman" w:cs="times new roman"/>
          <w:sz w:val="24"/>
          <w:szCs w:val="24"/>
        </w:rPr>
        <w:t>☐</w:t>
      </w:r>
    </w:p>
    <w:p>
      <w:pPr>
        <w:shd w:val="clear" w:fill="FFFFFF"/>
        <w:spacing w:before="0" w:after="0"/>
        <w:ind w:left="140" w:right="140"/>
        <w:rPr>
          <w:rFonts w:ascii="Times New Roman" w:eastAsia="Times New Roman" w:hAnsi="Times New Roman" w:cs="Times New Roman"/>
          <w:sz w:val="24"/>
          <w:szCs w:val="24"/>
        </w:rPr>
      </w:pPr>
    </w:p>
    <w:p>
      <w:pPr>
        <w:pBdr>
          <w:top w:val="single" w:sz="8" w:color="000000"/>
          <w:bottom w:val="single" w:sz="16" w:color="000000"/>
        </w:pBdr>
        <w:shd w:val="clear" w:fill="FFFFFF"/>
        <w:spacing w:before="0" w:after="0"/>
        <w:ind w:left="140" w:right="140"/>
        <w:rPr>
          <w:rFonts w:ascii="Times New Roman" w:eastAsia="Times New Roman" w:hAnsi="Times New Roman" w:cs="Times New Roman"/>
          <w:sz w:val="2"/>
          <w:szCs w:val="2"/>
        </w:rPr>
      </w:pPr>
      <w:r>
        <w:rPr>
          <w:rFonts w:ascii="Times New Roman" w:eastAsia="Times New Roman" w:hAnsi="Times New Roman" w:cs="Times New Roman"/>
          <w:sz w:val="2"/>
          <w:szCs w:val="2"/>
        </w:rPr>
        <w:t xml:space="preserve"> </w:t>
      </w:r>
    </w:p>
    <w:p>
      <w:pPr>
        <w:shd w:val="clear" w:fill="FFFFFF"/>
        <w:spacing w:before="0" w:after="0"/>
        <w:ind w:left="140" w:right="140"/>
        <w:rPr>
          <w:rFonts w:ascii="Times New Roman" w:eastAsia="Times New Roman" w:hAnsi="Times New Roman" w:cs="Times New Roman"/>
          <w:sz w:val="24"/>
          <w:szCs w:val="24"/>
        </w:rPr>
      </w:pPr>
    </w:p>
    <w:p>
      <w:pPr>
        <w:pBdr>
          <w:bottom w:val="single" w:sz="12" w:color="000000"/>
        </w:pBdr>
        <w:shd w:val="clear" w:fill="FFFFFF"/>
        <w:spacing w:before="240" w:after="120"/>
        <w:ind w:left="140" w:right="140"/>
        <w:jc w:val="center"/>
        <w:rPr>
          <w:rFonts w:ascii="Times New Roman" w:eastAsia="Times New Roman" w:hAnsi="Times New Roman" w:cs="Times New Roman"/>
          <w:sz w:val="24"/>
          <w:szCs w:val="24"/>
        </w:rPr>
      </w:pPr>
    </w:p>
    <w:p>
      <w:pPr>
        <w:shd w:val="clear" w:fill="FFFFFF"/>
        <w:spacing w:before="0" w:after="0"/>
        <w:ind w:left="140" w:right="140"/>
        <w:jc w:val="both"/>
        <w:rPr>
          <w:rFonts w:ascii="Times New Roman" w:eastAsia="Times New Roman" w:hAnsi="Times New Roman" w:cs="Times New Roman"/>
          <w:sz w:val="24"/>
          <w:szCs w:val="24"/>
        </w:rPr>
      </w:pPr>
    </w:p>
    <w:p>
      <w:pPr>
        <w:shd w:val="clear" w:fill="FFFFFF"/>
        <w:spacing w:before="0" w:after="0"/>
        <w:ind w:left="140" w:right="1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Announcement of Share Repurchase Program</w:t>
      </w:r>
    </w:p>
    <w:p>
      <w:pPr>
        <w:shd w:val="clear" w:fill="FFFFFF"/>
        <w:spacing w:before="0" w:after="0"/>
        <w:ind w:left="140" w:right="140"/>
        <w:jc w:val="both"/>
        <w:rPr>
          <w:rFonts w:ascii="Times New Roman" w:eastAsia="Times New Roman" w:hAnsi="Times New Roman" w:cs="Times New Roman"/>
          <w:sz w:val="24"/>
          <w:szCs w:val="24"/>
        </w:rPr>
      </w:pPr>
    </w:p>
    <w:p>
      <w:pPr>
        <w:shd w:val="clear" w:fill="FFFFFF"/>
        <w:spacing w:before="0" w:after="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J-Long Group Limited (Nasdaq: JL), an exempted company incorporated and existing under the laws of the Cayman Islands (the “Company”), today announced its program to buyback its Class A ordinary shares from the open market (the “Share Repurchase Program”) for an aggregate purchase price of no more than US$5,000,000. The purpose of the Share Repurchase Program is to reduce the issued share capital of the Company. The Share Repurchase Program will last a period of six months upon the date on which it was approved.</w:t>
      </w:r>
    </w:p>
    <w:p>
      <w:pPr>
        <w:shd w:val="clear" w:fill="FFFFFF"/>
        <w:spacing w:before="0" w:after="0"/>
        <w:ind w:left="140" w:right="140"/>
        <w:jc w:val="both"/>
        <w:rPr>
          <w:rFonts w:ascii="Times New Roman" w:eastAsia="Times New Roman" w:hAnsi="Times New Roman" w:cs="Times New Roman"/>
          <w:sz w:val="24"/>
          <w:szCs w:val="24"/>
        </w:rPr>
      </w:pPr>
    </w:p>
    <w:p>
      <w:pPr>
        <w:shd w:val="clear" w:fill="FFFFFF"/>
        <w:spacing w:before="0" w:after="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Pursuant to the Share Repurchase Program, the Company intends to repurchase its Class A ordinary shares of par value US$0.000375, from time to time on the open market at prevailing market prices, in privately negotiated transactions, in block trades and/or through other legally permissible means, in accordance with applicable U.S. federal securities laws, including Rule 10b5-1 and Rule 10b-18 of the Securities Exchange Act of 1934, as amended.</w:t>
      </w:r>
    </w:p>
    <w:p>
      <w:pPr>
        <w:shd w:val="clear" w:fill="FFFFFF"/>
        <w:spacing w:before="0" w:after="0"/>
        <w:ind w:left="140" w:right="140"/>
        <w:jc w:val="both"/>
        <w:rPr>
          <w:rFonts w:ascii="Times New Roman" w:eastAsia="Times New Roman" w:hAnsi="Times New Roman" w:cs="Times New Roman"/>
          <w:sz w:val="24"/>
          <w:szCs w:val="24"/>
        </w:rPr>
      </w:pPr>
    </w:p>
    <w:p>
      <w:pPr>
        <w:shd w:val="clear" w:fill="FFFFFF"/>
        <w:spacing w:before="0" w:after="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Share Repurchase Program was approved and authorized by the Board of Directors of the Company on September 15, 2025. Deutsche Bank AG has been appointed as the broker to implement the Share Repurchase Program according to the Company’s instructions, and in accordance with the rules and regulations of U.S. Securities and Exchange Commission and The Nasdaq Stock Market LLC.</w:t>
      </w:r>
    </w:p>
    <w:p>
      <w:pPr>
        <w:shd w:val="clear" w:fill="FFFFFF"/>
        <w:spacing w:before="0" w:after="0"/>
        <w:ind w:left="140" w:right="140"/>
        <w:jc w:val="both"/>
        <w:rPr>
          <w:rFonts w:ascii="Times New Roman" w:eastAsia="Times New Roman" w:hAnsi="Times New Roman" w:cs="Times New Roman"/>
          <w:sz w:val="24"/>
          <w:szCs w:val="24"/>
        </w:rPr>
      </w:pPr>
    </w:p>
    <w:p>
      <w:pPr>
        <w:shd w:val="clear" w:fill="FFFFFF"/>
        <w:spacing w:before="0" w:after="0"/>
        <w:ind w:left="140" w:right="1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Disclaimer</w:t>
      </w:r>
    </w:p>
    <w:p>
      <w:pPr>
        <w:shd w:val="clear" w:fill="FFFFFF"/>
        <w:spacing w:before="0" w:after="0"/>
        <w:ind w:left="140" w:right="140"/>
        <w:jc w:val="both"/>
        <w:rPr>
          <w:rFonts w:ascii="Times New Roman" w:eastAsia="Times New Roman" w:hAnsi="Times New Roman" w:cs="Times New Roman"/>
          <w:sz w:val="24"/>
          <w:szCs w:val="24"/>
        </w:rPr>
      </w:pPr>
    </w:p>
    <w:p>
      <w:pPr>
        <w:shd w:val="clear" w:fill="FFFFFF"/>
        <w:spacing w:before="0" w:after="0"/>
        <w:ind w:left="1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announcement is for information purpose only and does not constitute or form a part of an offer to sell or a solicitation of an offer to purchase, or the solicitation to sell, any securities of the Company.</w:t>
      </w:r>
    </w:p>
    <w:p>
      <w:pPr>
        <w:shd w:val="clear" w:fill="FFFFFF"/>
        <w:spacing w:before="0" w:after="0"/>
        <w:ind w:left="140" w:right="140"/>
        <w:rPr>
          <w:rFonts w:ascii="Times New Roman" w:eastAsia="Times New Roman" w:hAnsi="Times New Roman" w:cs="Times New Roman"/>
          <w:sz w:val="24"/>
          <w:szCs w:val="24"/>
        </w:rPr>
      </w:pPr>
    </w:p>
    <w:p>
      <w:pPr>
        <w:pBdr>
          <w:bottom w:val="single" w:sz="12" w:color="000000"/>
        </w:pBdr>
        <w:shd w:val="clear" w:fill="FFFFFF"/>
        <w:spacing w:before="240" w:after="12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pPr>
        <w:shd w:val="clear" w:fill="FFFFFF"/>
        <w:spacing w:before="0" w:after="0"/>
        <w:ind w:left="140" w:right="140"/>
        <w:rPr>
          <w:rFonts w:ascii="Times New Roman" w:eastAsia="Times New Roman" w:hAnsi="Times New Roman" w:cs="Times New Roman"/>
          <w:sz w:val="24"/>
          <w:szCs w:val="24"/>
        </w:rPr>
      </w:pPr>
    </w:p>
    <w:p>
      <w:pPr>
        <w:shd w:val="clear" w:fill="FFFFFF"/>
        <w:spacing w:before="0" w:after="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SIGNATURES</w:t>
      </w:r>
    </w:p>
    <w:p>
      <w:pPr>
        <w:shd w:val="clear" w:fill="FFFFFF"/>
        <w:spacing w:before="0" w:after="0"/>
        <w:ind w:left="140" w:right="140"/>
        <w:jc w:val="center"/>
        <w:rPr>
          <w:rFonts w:ascii="Times New Roman" w:eastAsia="Times New Roman" w:hAnsi="Times New Roman" w:cs="Times New Roman"/>
          <w:sz w:val="24"/>
          <w:szCs w:val="24"/>
        </w:rPr>
      </w:pPr>
    </w:p>
    <w:p>
      <w:pPr>
        <w:shd w:val="clear" w:fill="FFFFFF"/>
        <w:spacing w:before="0" w:after="0"/>
        <w:ind w:left="140" w:right="14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Pursuant to the requirements of the Securities Exchange Act of 1934, the registrant has duly caused this report to be signed on its behalf by the undersigned, thereunto duly authorized.</w:t>
      </w:r>
    </w:p>
    <w:p>
      <w:pPr>
        <w:shd w:val="clear" w:fill="FFFFFF"/>
        <w:spacing w:before="0" w:after="0"/>
        <w:ind w:left="140" w:right="140"/>
        <w:rPr>
          <w:rFonts w:ascii="Times New Roman" w:eastAsia="Times New Roman" w:hAnsi="Times New Roman" w:cs="Times New Roman"/>
          <w:sz w:val="24"/>
          <w:szCs w:val="24"/>
        </w:rPr>
      </w:pPr>
    </w:p>
    <w:tbl>
      <w:tblPr>
        <w:tblW w:w="5000" w:type="pct"/>
        <w:jc w:val="left"/>
        <w:tblInd w:w="150" w:type="dxa"/>
        <w:tblBorders>
          <w:top w:val="nil"/>
          <w:left w:val="nil"/>
          <w:bottom w:val="nil"/>
          <w:right w:val="nil"/>
          <w:insideH w:val="nil"/>
          <w:insideV w:val="nil"/>
        </w:tblBorders>
        <w:shd w:val="clear" w:fill="FFFFFF"/>
        <w:tblCellMar>
          <w:top w:w="0" w:type="dxa"/>
          <w:left w:w="0" w:type="dxa"/>
          <w:bottom w:w="0" w:type="dxa"/>
          <w:right w:w="0" w:type="dxa"/>
        </w:tblCellMar>
      </w:tblPr>
      <w:tr>
        <w:tc>
          <w:tcPr>
            <w:vAlign w:val="center"/>
          </w:tcPr>
          <w:p>
            <w:pPr>
              <w:spacing w:before="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gridSpan w:val="2"/>
            <w:vAlign w:val="center"/>
          </w:tcPr>
          <w:p>
            <w:pPr>
              <w:spacing w:before="0" w:after="0"/>
              <w:rPr>
                <w:rFonts w:ascii="Times New Roman" w:eastAsia="Times New Roman" w:hAnsi="Times New Roman" w:cs="Times New Roman"/>
                <w:sz w:val="24"/>
                <w:szCs w:val="24"/>
              </w:rPr>
            </w:pPr>
            <w:r>
              <w:rPr>
                <w:rFonts w:ascii="Times New Roman" w:eastAsia="Times New Roman" w:hAnsi="Times New Roman" w:cs="Times New Roman"/>
                <w:b/>
                <w:bCs/>
                <w:sz w:val="20"/>
                <w:szCs w:val="20"/>
              </w:rPr>
              <w:t>J-Long Group Limited</w:t>
            </w:r>
          </w:p>
        </w:tc>
      </w:tr>
      <w:tr>
        <w:tc>
          <w:tcPr>
            <w:tcW w:w="3000" w:type="pct"/>
            <w:vAlign w:val="center"/>
          </w:tcPr>
          <w:p>
            <w:pPr>
              <w:spacing w:before="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0" w:type="pct"/>
            <w:vAlign w:val="center"/>
          </w:tcPr>
          <w:p>
            <w:pPr>
              <w:spacing w:before="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50" w:type="pct"/>
            <w:vAlign w:val="center"/>
          </w:tcPr>
          <w:p>
            <w:pPr>
              <w:spacing w:before="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tc>
          <w:tcPr>
            <w:vAlign w:val="top"/>
          </w:tcPr>
          <w:p>
            <w:pPr>
              <w:spacing w:before="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vAlign w:val="top"/>
          </w:tcPr>
          <w:p>
            <w:pPr>
              <w:spacing w:before="0" w:after="0"/>
              <w:rPr>
                <w:rFonts w:ascii="Times New Roman" w:eastAsia="Times New Roman" w:hAnsi="Times New Roman" w:cs="Times New Roman"/>
                <w:sz w:val="24"/>
                <w:szCs w:val="24"/>
              </w:rPr>
            </w:pPr>
            <w:r>
              <w:rPr>
                <w:rFonts w:ascii="Times New Roman" w:eastAsia="Times New Roman" w:hAnsi="Times New Roman" w:cs="Times New Roman"/>
                <w:sz w:val="20"/>
                <w:szCs w:val="20"/>
              </w:rPr>
              <w:t>By:</w:t>
            </w:r>
          </w:p>
        </w:tc>
        <w:tc>
          <w:tcPr>
            <w:tcBorders>
              <w:bottom w:val="single" w:sz="12" w:color="000000"/>
            </w:tcBorders>
            <w:vAlign w:val="top"/>
          </w:tcPr>
          <w:p>
            <w:pPr>
              <w:spacing w:before="0" w:after="0"/>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/s/ </w:t>
            </w:r>
            <w:r>
              <w:rPr>
                <w:rFonts w:ascii="Times New Roman" w:eastAsia="Times New Roman" w:hAnsi="Times New Roman" w:cs="Times New Roman"/>
                <w:i/>
                <w:sz w:val="20"/>
                <w:szCs w:val="20"/>
              </w:rPr>
              <w:t>Edwin Wong</w:t>
            </w:r>
          </w:p>
        </w:tc>
      </w:tr>
      <w:tr>
        <w:tc>
          <w:tcPr>
            <w:vAlign w:val="top"/>
          </w:tcPr>
          <w:p>
            <w:pPr>
              <w:spacing w:before="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vAlign w:val="top"/>
          </w:tcPr>
          <w:p>
            <w:pPr>
              <w:spacing w:before="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vAlign w:val="top"/>
          </w:tcPr>
          <w:p>
            <w:pPr>
              <w:spacing w:before="0" w:after="0"/>
              <w:rPr>
                <w:rFonts w:ascii="Times New Roman" w:eastAsia="Times New Roman" w:hAnsi="Times New Roman" w:cs="Times New Roman"/>
                <w:sz w:val="24"/>
                <w:szCs w:val="24"/>
              </w:rPr>
            </w:pPr>
            <w:r>
              <w:rPr>
                <w:rFonts w:ascii="Times New Roman" w:eastAsia="Times New Roman" w:hAnsi="Times New Roman" w:cs="Times New Roman"/>
                <w:sz w:val="20"/>
                <w:szCs w:val="20"/>
              </w:rPr>
              <w:t>Wong Edwin Chun Yin</w:t>
            </w:r>
          </w:p>
        </w:tc>
      </w:tr>
      <w:tr>
        <w:tc>
          <w:tcPr>
            <w:vAlign w:val="top"/>
          </w:tcPr>
          <w:p>
            <w:pPr>
              <w:spacing w:before="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vAlign w:val="top"/>
          </w:tcPr>
          <w:p>
            <w:pPr>
              <w:spacing w:before="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vAlign w:val="top"/>
          </w:tcPr>
          <w:p>
            <w:pPr>
              <w:spacing w:before="0" w:after="0"/>
              <w:rPr>
                <w:rFonts w:ascii="Times New Roman" w:eastAsia="Times New Roman" w:hAnsi="Times New Roman" w:cs="Times New Roman"/>
                <w:sz w:val="24"/>
                <w:szCs w:val="24"/>
              </w:rPr>
            </w:pPr>
            <w:r>
              <w:rPr>
                <w:rFonts w:ascii="Times New Roman" w:eastAsia="Times New Roman" w:hAnsi="Times New Roman" w:cs="Times New Roman"/>
                <w:sz w:val="20"/>
                <w:szCs w:val="20"/>
              </w:rPr>
              <w:t>Chief Executive Officer and Director</w:t>
            </w:r>
          </w:p>
        </w:tc>
      </w:tr>
    </w:tbl>
    <w:p>
      <w:pPr>
        <w:shd w:val="clear" w:fill="FFFFFF"/>
        <w:spacing w:before="0" w:after="0"/>
        <w:ind w:left="140" w:right="140"/>
        <w:rPr>
          <w:rFonts w:ascii="Times New Roman" w:eastAsia="Times New Roman" w:hAnsi="Times New Roman" w:cs="Times New Roman"/>
          <w:sz w:val="24"/>
          <w:szCs w:val="24"/>
        </w:rPr>
      </w:pPr>
    </w:p>
    <w:p>
      <w:pPr>
        <w:shd w:val="clear" w:fill="FFFFFF"/>
        <w:spacing w:before="0" w:after="0"/>
        <w:ind w:left="140"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Date: September 16, 2025</w:t>
      </w:r>
    </w:p>
    <w:p>
      <w:pPr>
        <w:shd w:val="clear" w:fill="FFFFFF"/>
        <w:spacing w:before="0" w:after="0"/>
        <w:ind w:left="140" w:right="140"/>
        <w:rPr>
          <w:rFonts w:ascii="Times New Roman" w:eastAsia="Times New Roman" w:hAnsi="Times New Roman" w:cs="Times New Roman"/>
          <w:sz w:val="24"/>
          <w:szCs w:val="24"/>
        </w:rPr>
      </w:pPr>
    </w:p>
    <w:p>
      <w:pPr>
        <w:shd w:val="clear" w:fill="FFFFFF"/>
        <w:spacing w:before="0" w:after="0"/>
        <w:ind w:left="140" w:right="140"/>
        <w:jc w:val="center"/>
        <w:rPr>
          <w:rFonts w:ascii="Times New Roman" w:eastAsia="Times New Roman" w:hAnsi="Times New Roman" w:cs="Times New Roman"/>
          <w:sz w:val="24"/>
          <w:szCs w:val="24"/>
        </w:rPr>
      </w:pPr>
    </w:p>
    <w:p>
      <w:pPr>
        <w:shd w:val="clear" w:fill="FFFFFF"/>
        <w:spacing w:before="0" w:after="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pPr>
        <w:pBdr>
          <w:top w:val="single" w:sz="12" w:color="000000"/>
        </w:pBdr>
        <w:shd w:val="clear" w:fill="FFFFFF"/>
        <w:spacing w:before="0" w:after="0"/>
        <w:ind w:left="140" w:right="140"/>
        <w:rPr>
          <w:rFonts w:ascii="Times New Roman" w:eastAsia="Times New Roman" w:hAnsi="Times New Roman" w:cs="Times New Roman"/>
          <w:sz w:val="2"/>
          <w:szCs w:val="2"/>
        </w:rPr>
      </w:pPr>
      <w:r>
        <w:rPr>
          <w:rFonts w:ascii="Times New Roman" w:eastAsia="Times New Roman" w:hAnsi="Times New Roman" w:cs="Times New Roman"/>
          <w:sz w:val="2"/>
          <w:szCs w:val="2"/>
        </w:rPr>
        <w:t xml:space="preserve"> </w:t>
      </w:r>
    </w:p>
    <w:p>
      <w:pPr>
        <w:shd w:val="clear" w:fill="FFFFFF"/>
        <w:spacing w:before="0" w:after="140" w:afterAutospacing="false"/>
        <w:ind w:left="140" w:right="140"/>
        <w:jc w:val="center"/>
        <w:rPr>
          <w:rFonts w:ascii="Times New Roman" w:eastAsia="Times New Roman" w:hAnsi="Times New Roman" w:cs="Times New Roman"/>
          <w:sz w:val="24"/>
          <w:szCs w:val="24"/>
        </w:rPr>
      </w:pPr>
    </w:p>
    <w:sectPr>
      <w:pgSz w:w="11907" w:h="16839" w:code="9"/>
      <w:pgMar w:top="200" w:right="200" w:bottom="200" w:left="2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